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331B" w:rsidRDefault="00B7331B" w:rsidP="00B7331B">
      <w:pPr>
        <w:pStyle w:val="JKKTitleIndonesia"/>
        <w:spacing w:after="0" w:line="276" w:lineRule="auto"/>
        <w:rPr>
          <w:lang w:val="en-US"/>
        </w:rPr>
      </w:pPr>
      <w:bookmarkStart w:id="0" w:name="_GoBack"/>
      <w:bookmarkEnd w:id="0"/>
      <w:r>
        <w:rPr>
          <w:lang w:val="en-US"/>
        </w:rPr>
        <w:t>Keperawatan Bencana: Pengurangan Risiko Bencana Tsunami melalui Komunitas Mangrove</w:t>
      </w:r>
    </w:p>
    <w:p w:rsidR="00B7331B" w:rsidRDefault="00B7331B" w:rsidP="00B7331B">
      <w:pPr>
        <w:pStyle w:val="JKKAuthorName"/>
        <w:spacing w:after="0"/>
      </w:pPr>
    </w:p>
    <w:p w:rsidR="00B7331B" w:rsidRDefault="00B7331B" w:rsidP="00B7331B">
      <w:pPr>
        <w:pStyle w:val="JKKAuthorName"/>
        <w:spacing w:after="0"/>
      </w:pPr>
    </w:p>
    <w:p w:rsidR="00B7331B" w:rsidRDefault="00B7331B" w:rsidP="00B7331B">
      <w:pPr>
        <w:pStyle w:val="JKKAuthorName"/>
      </w:pPr>
      <w:r>
        <w:rPr>
          <w:lang w:val="en-US"/>
        </w:rPr>
        <w:t>Putra Agina Widyaswara Suwaryo</w:t>
      </w:r>
      <w:r>
        <w:rPr>
          <w:vertAlign w:val="superscript"/>
        </w:rPr>
        <w:t>1,*</w:t>
      </w:r>
      <w:r>
        <w:t xml:space="preserve">, </w:t>
      </w:r>
      <w:r>
        <w:rPr>
          <w:lang w:val="en-US"/>
        </w:rPr>
        <w:t>Sarwono</w:t>
      </w:r>
      <w:r>
        <w:rPr>
          <w:vertAlign w:val="superscript"/>
        </w:rPr>
        <w:t>2</w:t>
      </w:r>
      <w:r>
        <w:t xml:space="preserve">, </w:t>
      </w:r>
      <w:r>
        <w:rPr>
          <w:lang w:val="en-US"/>
        </w:rPr>
        <w:t>Podo Yuwono</w:t>
      </w:r>
      <w:r>
        <w:rPr>
          <w:vertAlign w:val="superscript"/>
        </w:rPr>
        <w:t xml:space="preserve"> 3</w:t>
      </w:r>
      <w:r>
        <w:t xml:space="preserve"> </w:t>
      </w:r>
    </w:p>
    <w:p w:rsidR="00B7331B" w:rsidRDefault="00B7331B" w:rsidP="00B7331B">
      <w:pPr>
        <w:pStyle w:val="JKKAuthorAfiliation"/>
        <w:rPr>
          <w:sz w:val="18"/>
          <w:szCs w:val="18"/>
          <w:lang w:val="en-US"/>
        </w:rPr>
      </w:pPr>
      <w:r>
        <w:rPr>
          <w:sz w:val="18"/>
          <w:szCs w:val="18"/>
          <w:vertAlign w:val="superscript"/>
          <w:lang w:val="en-ID"/>
        </w:rPr>
        <w:t xml:space="preserve">1 </w:t>
      </w:r>
      <w:r>
        <w:rPr>
          <w:sz w:val="18"/>
          <w:szCs w:val="18"/>
          <w:lang w:val="en-US"/>
        </w:rPr>
        <w:t>STIKES Muhammadiyah Gombong, Kebumen, Jawa Tengah</w:t>
      </w:r>
    </w:p>
    <w:p w:rsidR="00B7331B" w:rsidRDefault="00B7331B" w:rsidP="00B7331B">
      <w:pPr>
        <w:pStyle w:val="JKKAuthorAfiliation"/>
        <w:rPr>
          <w:sz w:val="18"/>
          <w:szCs w:val="18"/>
          <w:lang w:val="en-US"/>
        </w:rPr>
      </w:pPr>
      <w:r>
        <w:rPr>
          <w:sz w:val="18"/>
          <w:szCs w:val="18"/>
          <w:vertAlign w:val="superscript"/>
          <w:lang w:val="en-ID"/>
        </w:rPr>
        <w:t>2</w:t>
      </w:r>
      <w:r>
        <w:rPr>
          <w:sz w:val="18"/>
          <w:szCs w:val="18"/>
          <w:lang w:val="en-ID"/>
        </w:rPr>
        <w:t xml:space="preserve"> </w:t>
      </w:r>
      <w:r>
        <w:rPr>
          <w:sz w:val="18"/>
          <w:szCs w:val="18"/>
          <w:lang w:val="en-US"/>
        </w:rPr>
        <w:t>STIKES Muhammadiyah Gombong, Kebumen, Jawa Tengah</w:t>
      </w:r>
    </w:p>
    <w:p w:rsidR="00B7331B" w:rsidRDefault="00B7331B" w:rsidP="00B7331B">
      <w:pPr>
        <w:pStyle w:val="JKKAuthorAfiliation"/>
        <w:rPr>
          <w:sz w:val="18"/>
          <w:szCs w:val="18"/>
          <w:lang w:val="en-US"/>
        </w:rPr>
      </w:pPr>
      <w:r>
        <w:rPr>
          <w:sz w:val="18"/>
          <w:szCs w:val="18"/>
          <w:vertAlign w:val="superscript"/>
        </w:rPr>
        <w:t>1</w:t>
      </w:r>
      <w:r>
        <w:rPr>
          <w:sz w:val="18"/>
          <w:szCs w:val="18"/>
        </w:rPr>
        <w:t>ners.putra</w:t>
      </w:r>
      <w:r>
        <w:rPr>
          <w:sz w:val="18"/>
          <w:szCs w:val="18"/>
          <w:lang w:val="en-US"/>
        </w:rPr>
        <w:t>@gmail.com</w:t>
      </w:r>
      <w:r>
        <w:rPr>
          <w:sz w:val="18"/>
          <w:szCs w:val="18"/>
        </w:rPr>
        <w:t xml:space="preserve">*; </w:t>
      </w:r>
      <w:r>
        <w:rPr>
          <w:sz w:val="18"/>
          <w:szCs w:val="18"/>
          <w:vertAlign w:val="superscript"/>
        </w:rPr>
        <w:t>2</w:t>
      </w:r>
      <w:r>
        <w:rPr>
          <w:sz w:val="18"/>
          <w:szCs w:val="18"/>
          <w:lang w:val="en-US"/>
        </w:rPr>
        <w:t>ronifah@gmail.com</w:t>
      </w:r>
      <w:r>
        <w:rPr>
          <w:sz w:val="18"/>
          <w:szCs w:val="18"/>
        </w:rPr>
        <w:t xml:space="preserve">; </w:t>
      </w:r>
      <w:r>
        <w:rPr>
          <w:sz w:val="18"/>
          <w:szCs w:val="18"/>
          <w:vertAlign w:val="superscript"/>
        </w:rPr>
        <w:t>3</w:t>
      </w:r>
      <w:r>
        <w:rPr>
          <w:sz w:val="18"/>
          <w:szCs w:val="18"/>
          <w:lang w:val="en-US"/>
        </w:rPr>
        <w:t>maz.phdh@gmail.com</w:t>
      </w:r>
    </w:p>
    <w:p w:rsidR="00B7331B" w:rsidRDefault="00B7331B" w:rsidP="00B7331B">
      <w:pPr>
        <w:pStyle w:val="JKKAuthorAfiliation"/>
        <w:rPr>
          <w:sz w:val="18"/>
          <w:szCs w:val="18"/>
        </w:rPr>
      </w:pPr>
      <w:r>
        <w:rPr>
          <w:sz w:val="18"/>
          <w:szCs w:val="18"/>
        </w:rPr>
        <w:t>* corresponding author</w:t>
      </w:r>
    </w:p>
    <w:p w:rsidR="00B7331B" w:rsidRDefault="00B7331B" w:rsidP="00B7331B">
      <w:pPr>
        <w:pStyle w:val="JKKArticleHistory"/>
        <w:spacing w:after="120"/>
        <w:rPr>
          <w:szCs w:val="18"/>
        </w:rPr>
      </w:pPr>
      <w:r>
        <w:rPr>
          <w:szCs w:val="18"/>
        </w:rPr>
        <w:t>Tanggal Submisi: . xxxxxxxx, Tanggal Penerimaan: xxxxxxxx</w:t>
      </w:r>
    </w:p>
    <w:p w:rsidR="00B7331B" w:rsidRDefault="00B7331B" w:rsidP="00B7331B">
      <w:pPr>
        <w:pStyle w:val="JKKAbstrakJudulIndo"/>
        <w:spacing w:after="0"/>
      </w:pPr>
      <w:r>
        <w:t>Abstrak</w:t>
      </w:r>
    </w:p>
    <w:p w:rsidR="00B7331B" w:rsidRDefault="00B7331B" w:rsidP="00B7331B">
      <w:pPr>
        <w:pStyle w:val="JKKAbstrakBodyIndo"/>
      </w:pPr>
    </w:p>
    <w:p w:rsidR="00B7331B" w:rsidRDefault="00B7331B" w:rsidP="00B7331B">
      <w:pPr>
        <w:jc w:val="both"/>
        <w:rPr>
          <w:rFonts w:ascii="Times New Roman" w:hAnsi="Times New Roman" w:cs="Times New Roman"/>
          <w:sz w:val="24"/>
        </w:rPr>
      </w:pPr>
      <w:r>
        <w:rPr>
          <w:rFonts w:ascii="Times New Roman" w:hAnsi="Times New Roman" w:cs="Times New Roman"/>
          <w:sz w:val="24"/>
          <w:lang w:val="en-US"/>
        </w:rPr>
        <w:t>Pengurangan risiko bencana perlu melibatkan berbagai pihak, seperti masyarakat, lembaga dan organisasi tertentu dan pemerintah. Kajian terkait mangrove membuktikan bisa memberikan kontribusi yang tinggi menjadi benteng alami dari tsunami</w:t>
      </w:r>
      <w:r>
        <w:rPr>
          <w:rFonts w:ascii="Times New Roman" w:hAnsi="Times New Roman" w:cs="Times New Roman"/>
          <w:sz w:val="24"/>
        </w:rPr>
        <w:t xml:space="preserve">. Tujuan penelitian ini untuk mengetahui rencana, implementasi dan peran perawat dalam keperawatan bencana untuk pengurangan risiko bencana tsunami. Penelitian ini menggunakan desain kualitatif. Proses pengambilan data menggunakan wawancara dan </w:t>
      </w:r>
      <w:r>
        <w:rPr>
          <w:rFonts w:ascii="Times New Roman" w:hAnsi="Times New Roman" w:cs="Times New Roman"/>
          <w:i/>
          <w:sz w:val="24"/>
        </w:rPr>
        <w:t xml:space="preserve">Focus Group Discussion </w:t>
      </w:r>
      <w:r>
        <w:rPr>
          <w:rFonts w:ascii="Times New Roman" w:hAnsi="Times New Roman" w:cs="Times New Roman"/>
          <w:sz w:val="24"/>
        </w:rPr>
        <w:t xml:space="preserve">(FGD) terhadap 5 partisipan yang terdiri dari tenaga medis yaitu perawat dan orang awam. </w:t>
      </w:r>
      <w:r>
        <w:rPr>
          <w:rFonts w:ascii="Times New Roman" w:hAnsi="Times New Roman" w:cs="Times New Roman"/>
          <w:sz w:val="24"/>
          <w:lang w:val="en-US"/>
        </w:rPr>
        <w:t>Peran perawat dalam pengurangan risiko bencana tsunami sebagai pemimpin, pendidik, penanggap, dan membantu komunikasi dalam membuat kebijakan dengan pemerintah</w:t>
      </w:r>
      <w:r>
        <w:rPr>
          <w:rFonts w:ascii="Times New Roman" w:hAnsi="Times New Roman" w:cs="Times New Roman"/>
          <w:sz w:val="24"/>
        </w:rPr>
        <w:t>.</w:t>
      </w:r>
    </w:p>
    <w:p w:rsidR="00B7331B" w:rsidRDefault="00B7331B" w:rsidP="00B7331B">
      <w:pPr>
        <w:pStyle w:val="JKKAbstrakBodyIndo"/>
      </w:pPr>
      <w:r>
        <w:t xml:space="preserve"> </w:t>
      </w:r>
    </w:p>
    <w:p w:rsidR="00B7331B" w:rsidRDefault="00B7331B" w:rsidP="00B7331B">
      <w:pPr>
        <w:pStyle w:val="JKKAbstrakKeywordIndo"/>
        <w:rPr>
          <w:b w:val="0"/>
        </w:rPr>
      </w:pPr>
      <w:r>
        <w:t xml:space="preserve">Kata kunci: </w:t>
      </w:r>
      <w:r>
        <w:rPr>
          <w:b w:val="0"/>
        </w:rPr>
        <w:t>bencana tsunami, mangrove, keperawatan bencana</w:t>
      </w:r>
    </w:p>
    <w:p w:rsidR="00B7331B" w:rsidRDefault="00B7331B" w:rsidP="00B7331B">
      <w:pPr>
        <w:pStyle w:val="abstrakteks"/>
        <w:spacing w:after="0"/>
        <w:jc w:val="center"/>
        <w:rPr>
          <w:b/>
          <w:sz w:val="22"/>
          <w:szCs w:val="28"/>
          <w:lang w:val="en-US"/>
        </w:rPr>
      </w:pPr>
    </w:p>
    <w:p w:rsidR="00B7331B" w:rsidRDefault="00B7331B" w:rsidP="00B7331B">
      <w:pPr>
        <w:pStyle w:val="JKKTitleEnglish"/>
        <w:rPr>
          <w:color w:val="212121"/>
        </w:rPr>
      </w:pPr>
      <w:r>
        <w:t>The Role of Disaster Nursing in Tsunami Disaster Risk Reduction through the Mangrove Community</w:t>
      </w:r>
    </w:p>
    <w:p w:rsidR="00B7331B" w:rsidRDefault="00B7331B" w:rsidP="00B7331B">
      <w:pPr>
        <w:pStyle w:val="abstrakteks"/>
        <w:spacing w:after="0"/>
        <w:jc w:val="center"/>
        <w:rPr>
          <w:b/>
          <w:sz w:val="22"/>
          <w:szCs w:val="28"/>
          <w:lang w:val="en-US"/>
        </w:rPr>
      </w:pPr>
    </w:p>
    <w:p w:rsidR="00B7331B" w:rsidRDefault="00B7331B" w:rsidP="00B7331B">
      <w:pPr>
        <w:pStyle w:val="JKKAbstrakJudulEnglish"/>
      </w:pPr>
      <w:r>
        <w:t>Abstract</w:t>
      </w:r>
    </w:p>
    <w:p w:rsidR="00B7331B" w:rsidRDefault="00B7331B" w:rsidP="00B7331B">
      <w:pPr>
        <w:pStyle w:val="JKKAbstrakBodyEnglish"/>
      </w:pPr>
      <w:r>
        <w:t>Disaster risk reduction needs to involve various parties, such as the community, certain institutions and organizations and the government. Mangrove-related studies prove that they can make a high contribution to becoming a natural fortress from the tsunami. The purpose of this study was to determine the plan, implementation and role of nurses in disaster nursing for tsunami risk reduction. This study uses a qualitative design. The data collection process used interviews and Focus Group Discussion (FGD) of 5 participants consisting of medical personnel namely nurses and lay people. The role of nurses in tsunami risk reduction as leaders, educators, responders, and assisting in communication in making policy with the government.</w:t>
      </w:r>
    </w:p>
    <w:p w:rsidR="00B7331B" w:rsidRDefault="00B7331B" w:rsidP="00B7331B">
      <w:pPr>
        <w:pStyle w:val="JKKAbstrakBodyEnglish"/>
      </w:pPr>
      <w:r>
        <w:t> </w:t>
      </w:r>
    </w:p>
    <w:p w:rsidR="00B7331B" w:rsidRDefault="00B7331B" w:rsidP="00B7331B">
      <w:pPr>
        <w:pStyle w:val="JKKAbstrakBodyEnglish"/>
        <w:rPr>
          <w:lang w:val="en-US"/>
        </w:rPr>
      </w:pPr>
      <w:r>
        <w:t>Keywords: tsunami disaster, mangrove, nursing disaster</w:t>
      </w:r>
    </w:p>
    <w:p w:rsidR="00B7331B" w:rsidRDefault="00B7331B" w:rsidP="00B7331B">
      <w:pPr>
        <w:tabs>
          <w:tab w:val="left" w:pos="3893"/>
        </w:tabs>
        <w:jc w:val="center"/>
        <w:rPr>
          <w:color w:val="F79646" w:themeColor="accent6"/>
          <w:sz w:val="40"/>
          <w:lang w:val="en-ID"/>
        </w:rPr>
      </w:pPr>
      <w:r>
        <w:rPr>
          <w:color w:val="F79646" w:themeColor="accent6"/>
          <w:sz w:val="40"/>
          <w:lang w:val="en-ID"/>
        </w:rPr>
        <w:t>_______________________________________</w:t>
      </w:r>
    </w:p>
    <w:p w:rsidR="00B7331B" w:rsidRDefault="00B7331B" w:rsidP="00B7331B">
      <w:pPr>
        <w:pStyle w:val="JKKHeading1"/>
      </w:pPr>
      <w:r>
        <w:t>PENDAHULUAN</w:t>
      </w:r>
    </w:p>
    <w:p w:rsidR="00B7331B" w:rsidRDefault="00B7331B" w:rsidP="00B7331B">
      <w:pPr>
        <w:pStyle w:val="JKKBodyTeks"/>
        <w:rPr>
          <w:lang w:val="en-US"/>
        </w:rPr>
      </w:pPr>
      <w:r>
        <w:rPr>
          <w:lang w:val="en-US"/>
        </w:rPr>
        <w:t xml:space="preserve">Bencana alam yang terjadi di Indonesia pada satu dekade terakhir menimbulkan kerugian, baik korban jiwa maupun harta benda. Bencana tersebut bukan yang pertama kali terjadi, sehingga memerlukan perhatian dan penanganan khusus dari berbagai pihak karena </w:t>
      </w:r>
      <w:r>
        <w:rPr>
          <w:lang w:val="en-US"/>
        </w:rPr>
        <w:lastRenderedPageBreak/>
        <w:t xml:space="preserve">bisa bencana yang sama dengan dampak yang lebih besar berulang tiap tahunnya. Pengurangan risiko bencana bisa dilakukan untuk mengurangi jumlah korban jiwa dan kerugian harta benda. Kajian lebih lanjut, bencana juga memberikan dampak terhadap perekonomian. Anggaran belanja tidak terduga yang dibuat oleh Badan Penanggulangan Bencana Daerah (BPBD) tiap tahun terus meningkat, sedangkan Alokasi Pendapatan dan Belanja Daerah (APBD) dalam kegiatan Pengurangan Risiko Bencana (PRB) masih sangat rendah yaitu sekitar 0.1 persen </w:t>
      </w:r>
      <w:r>
        <w:rPr>
          <w:lang w:val="en-US"/>
        </w:rPr>
        <w:fldChar w:fldCharType="begin" w:fldLock="1"/>
      </w:r>
      <w:r>
        <w:rPr>
          <w:lang w:val="en-US"/>
        </w:rPr>
        <w:instrText>ADDIN CSL_CITATION {"citationItems":[{"id":"ITEM-1","itemData":{"abstract":"Sebagian besar penduduk Indonesia tinggal di wilayah yang rentan terhadap bencana alam, termasuk gempa bumi. Bencana gempa yang diikuti dengan pengungsian berpotensi menimbulkan masalah kesehatan; namun demikian, pelayanan kesehatan pada kondisi bencana sering menghadapi kendala, antara lain akibat rusak atau tidak memadainya fasilitas kesehatan. Tulisan ini mendiskusikan permasalahan kesehatan dalam kondisi bencana dan mengkaji peran petugas kesehatan serta partisipasi masyarakat dalam penanggulangannya. Sebagian besar informasi dalam tulisan ini disusun berdasarkan basil studi \"Kajian Pemenuhan Kebutuhan Dasar Korban Gempa Bantul 2006\" pada tahun 2010 serta penelusuran literatur terkait (desk review). Hasil studi menunjukkan bahwa di sektor kesehatan, berbagai piranti legal (peraturan, standar) telah menyebutkan peran penting petugas kesehatan dalam penanggulangan bencana. Bencana tidak hanya menimbulkan korban meninggal dan luka serta rusaknya berbagai fasilitas kesehatan, tetapi juga berdampak pada permasalahan kesehatan masyarakat, seperti munculnya berbagai penyakit paskagempa, fasilitas air bersih dan sanitasi lingkungan yang kurang baik, trauma kejiwaan serta akses terhadap pelayanan kesehatan reproduksi perempuan dan pasangan. Petugas kesehatan bersama dengan masyarakat berperan dalam penanggulangan bencana gempa, mulai dari sesaat setelah gempa (hari ke-1 hingga hari ke-3), masa tanggap darurat (hari ke-3 hingga sebulan) serta masa rehabilitasi dan rekonstruksi (sejak sebulan paskagempa). Beberapa faktor turut mendukung kelancaran petugas Puskesmas dalam melakukan tindakan gawat darurat pada saat gempa, termasuk partisipasi aktif masyarakat dan relawan dalam membantu penanganan korban.","author":[{"dropping-particle":"","family":"Widayatun","given":"","non-dropping-particle":"","parse-names":false,"suffix":""},{"dropping-particle":"","family":"Fatoni","given":"Zainal","non-dropping-particle":"","parse-names":false,"suffix":""}],"container-title":"Jurnal Kependudukan Indonesia","id":"ITEM-1","issued":{"date-parts":[["2013"]]},"title":"Permasalahan Kesehatan dalam Kondisi Bencana:Peran Petugas Kesehatan dan Partisipasi Masyarakat (Health Problems in a Disaster Situation : the Role of Health Personnels and Community Participation)","type":"article-journal"},"uris":["http://www.mendeley.com/documents/?uuid=93481299-c8c1-489b-8590-f7cb91b6e93b"]},{"id":"ITEM-2","itemData":{"abstract":"Upper-level Undergraduate, MBA, and Executive MBA courses on Introduction to E-Commerce. This book is written for present and future practitioners who need a solid foundation in all aspects of conducting business in the New Economy. The authors focus on what a manager needs to know about Internet infrastructure, strategy formulation and implementation, technology concepts, public policy issues, and capital infrastructure in order to make effective business decisions. The authors present a framework for the study and practice of e-Commerce with business strategy at the core surrounded by four infrastructures; the technology infrastructure that underlies the Internet, the media infrastructure that provides the content for businesses, public policy regulations that provide both opportunities and constraints, and the capital infrastructure that provides the money and capital to run the businesses. Within this framework, the authors provide a deep exploration of core concepts of New Economy strategy and associated enablers enriched by a wide variety of examples, case studies, and explanations culled directly from practice.","author":[{"dropping-particle":"","family":"Suwaryo","given":"Putra Agina Widyaswara","non-dropping-particle":"","parse-names":false,"suffix":""},{"dropping-particle":"","family":"Yuwono","given":"Podo","non-dropping-particle":"","parse-names":false,"suffix":""}],"container-title":"Urecol 6th","id":"ITEM-2","issued":{"date-parts":[["2017"]]},"title":"Faktor-faktor yang mempengaruhi tingkat pengetahuan masyarakat dalam mitigasi bencana alam tanah longsor","type":"article-journal"},"uris":["http://www.mendeley.com/documents/?uuid=50bc08ef-5779-45eb-9443-af14a5ea0258"]}],"mendeley":{"formattedCitation":"(Suwaryo &amp; Yuwono, 2017; Widayatun &amp; Fatoni, 2013)","plainTextFormattedCitation":"(Suwaryo &amp; Yuwono, 2017; Widayatun &amp; Fatoni, 2013)","previouslyFormattedCitation":"(Suwaryo &amp; Yuwono, 2017; Widayatun &amp; Fatoni, 2013)"},"properties":{"noteIndex":0},"schema":"https://github.com/citation-style-language/schema/raw/master/csl-citation.json"}</w:instrText>
      </w:r>
      <w:r>
        <w:rPr>
          <w:lang w:val="en-US"/>
        </w:rPr>
        <w:fldChar w:fldCharType="separate"/>
      </w:r>
      <w:r>
        <w:rPr>
          <w:noProof/>
          <w:lang w:val="en-US"/>
        </w:rPr>
        <w:t>(Suwaryo &amp; Yuwono, 2017; Widayatun &amp; Fatoni, 2013)</w:t>
      </w:r>
      <w:r>
        <w:rPr>
          <w:lang w:val="en-US"/>
        </w:rPr>
        <w:fldChar w:fldCharType="end"/>
      </w:r>
      <w:r>
        <w:rPr>
          <w:lang w:val="en-US"/>
        </w:rPr>
        <w:t xml:space="preserve">. Hal ini dikarenakan peningkatan anggaran nasional tidak diikuti dengan anggaran pengurangan risiko bencana di daerah. Dalam satu tahun terakhir tercatat 3.466 kejadian bencana dengan jumlah korban 10.2 juta orang. Jawa tengah menduduki peringkat teratas yaitu 304 kejadian bencana </w:t>
      </w:r>
      <w:r>
        <w:rPr>
          <w:lang w:val="en-US"/>
        </w:rPr>
        <w:fldChar w:fldCharType="begin" w:fldLock="1"/>
      </w:r>
      <w:r>
        <w:rPr>
          <w:lang w:val="en-US"/>
        </w:rPr>
        <w:instrText>ADDIN CSL_CITATION {"citationItems":[{"id":"ITEM-1","itemData":{"DOI":"10.1108/SCM-06-2013-0191","ISSN":"13598546","abstract":"Purpose: This study aims to combine theory and practice to develop an integrated supply chain resilience framework by investigating the inter-dependencies between the strategic literature based concept of supply chain resilience and operational practitioner based disaster management processes. Design/methodology/approach: Utilising an in-depth qualitative case of a collaborative agency, this study identifies best practices within disaster management for insights on the operationalisation of supply chain resilience. Findings: The empirical data leads to the development of an integrated supply chain resilience framework capturing the interplay of disaster management processes and capabilities required to build supply chain resilience. The critical importance of mitigation processes in building supply chain resilience is highlighted. Practical implications: The generic supply chain resilience framework represents a valuable guide for managers when directing resources and planning for building the capabilities required in each phase of disaster management, while remaining strategically focused. The value of the framework is demonstrated by a retrospective analysis of aid operations in response to Hurricane Katrina. Originality/value: The study's results are the first to bridge theory and practice on supply chain resilience. By utilising the unique humanitarian aid disaster supply chain management context, a two-way knowledge and learning flow between humanitarian and commercial organisations is established. © Emerald Group Publishing Limited.","author":[{"dropping-particle":"","family":"Scholten","given":"Kirstin","non-dropping-particle":"","parse-names":false,"suffix":""},{"dropping-particle":"","family":"Scott","given":"Pamela Sharkey","non-dropping-particle":"","parse-names":false,"suffix":""},{"dropping-particle":"","family":"Fynes","given":"Brian","non-dropping-particle":"","parse-names":false,"suffix":""}],"container-title":"Supply Chain Management","id":"ITEM-1","issued":{"date-parts":[["2014"]]},"title":"Mitigation processes - antecedents for building supply chain resilience","type":"article-journal"},"uris":["http://www.mendeley.com/documents/?uuid=246da116-74fa-4b2d-b330-977dcf3cbe63"]},{"id":"ITEM-2","itemData":{"abstract":"Sebagian besar penduduk Indonesia tinggal di wilayah yang rentan terhadap bencana alam, termasuk gempa bumi. Bencana gempa yang diikuti dengan pengungsian berpotensi menimbulkan masalah kesehatan; namun demikian, pelayanan kesehatan pada kondisi bencana sering menghadapi kendala, antara lain akibat rusak atau tidak memadainya fasilitas kesehatan. Tulisan ini mendiskusikan permasalahan kesehatan dalam kondisi bencana dan mengkaji peran petugas kesehatan serta partisipasi masyarakat dalam penanggulangannya. Sebagian besar informasi dalam tulisan ini disusun berdasarkan basil studi \"Kajian Pemenuhan Kebutuhan Dasar Korban Gempa Bantul 2006\" pada tahun 2010 serta penelusuran literatur terkait (desk review). Hasil studi menunjukkan bahwa di sektor kesehatan, berbagai piranti legal (peraturan, standar) telah menyebutkan peran penting petugas kesehatan dalam penanggulangan bencana. Bencana tidak hanya menimbulkan korban meninggal dan luka serta rusaknya berbagai fasilitas kesehatan, tetapi juga berdampak pada permasalahan kesehatan masyarakat, seperti munculnya berbagai penyakit paskagempa, fasilitas air bersih dan sanitasi lingkungan yang kurang baik, trauma kejiwaan serta akses terhadap pelayanan kesehatan reproduksi perempuan dan pasangan. Petugas kesehatan bersama dengan masyarakat berperan dalam penanggulangan bencana gempa, mulai dari sesaat setelah gempa (hari ke-1 hingga hari ke-3), masa tanggap darurat (hari ke-3 hingga sebulan) serta masa rehabilitasi dan rekonstruksi (sejak sebulan paskagempa). Beberapa faktor turut mendukung kelancaran petugas Puskesmas dalam melakukan tindakan gawat darurat pada saat gempa, termasuk partisipasi aktif masyarakat dan relawan dalam membantu penanganan korban.","author":[{"dropping-particle":"","family":"Widayatun","given":"","non-dropping-particle":"","parse-names":false,"suffix":""},{"dropping-particle":"","family":"Fatoni","given":"Zainal","non-dropping-particle":"","parse-names":false,"suffix":""}],"container-title":"Jurnal Kependudukan Indonesia","id":"ITEM-2","issued":{"date-parts":[["2013"]]},"title":"Permasalahan Kesehatan dalam Kondisi Bencana:Peran Petugas Kesehatan dan Partisipasi Masyarakat (Health Problems in a Disaster Situation : the Role of Health Personnels and Community Participation)","type":"article-journal"},"uris":["http://www.mendeley.com/documents/?uuid=93481299-c8c1-489b-8590-f7cb91b6e93b"]}],"mendeley":{"formattedCitation":"(Scholten, Scott, &amp; Fynes, 2014; Widayatun &amp; Fatoni, 2013)","plainTextFormattedCitation":"(Scholten, Scott, &amp; Fynes, 2014; Widayatun &amp; Fatoni, 2013)","previouslyFormattedCitation":"(Scholten, Scott, &amp; Fynes, 2014; Widayatun &amp; Fatoni, 2013)"},"properties":{"noteIndex":0},"schema":"https://github.com/citation-style-language/schema/raw/master/csl-citation.json"}</w:instrText>
      </w:r>
      <w:r>
        <w:rPr>
          <w:lang w:val="en-US"/>
        </w:rPr>
        <w:fldChar w:fldCharType="separate"/>
      </w:r>
      <w:r>
        <w:rPr>
          <w:noProof/>
          <w:lang w:val="en-US"/>
        </w:rPr>
        <w:t>(Scholten, Scott, &amp; Fynes, 2014; Widayatun &amp; Fatoni, 2013)</w:t>
      </w:r>
      <w:r>
        <w:rPr>
          <w:lang w:val="en-US"/>
        </w:rPr>
        <w:fldChar w:fldCharType="end"/>
      </w:r>
      <w:r>
        <w:rPr>
          <w:lang w:val="en-US"/>
        </w:rPr>
        <w:t xml:space="preserve">. </w:t>
      </w:r>
    </w:p>
    <w:p w:rsidR="00B7331B" w:rsidRDefault="00B7331B" w:rsidP="00B7331B">
      <w:pPr>
        <w:pStyle w:val="JKKBodyTeks"/>
        <w:rPr>
          <w:lang w:val="en-US"/>
        </w:rPr>
      </w:pPr>
      <w:r>
        <w:rPr>
          <w:lang w:val="en-US"/>
        </w:rPr>
        <w:t xml:space="preserve">Dalam manajemen bencana, mitigasi menjadi salah satu langkah awal yang perlu dilakukan sebelum terjadi bencana. Rencana mitigasi memainkan peran penting dalam mendukung pengurangan risiko bencana dan ketahanan jangka panjang suatu wilayah atau negara. Undang-undang Mitigasi Bencana tahun 2000 mewajibkan semua negara bagian untuk menyiapkan rencana mitigasi </w:t>
      </w:r>
      <w:r>
        <w:rPr>
          <w:lang w:val="en-US"/>
        </w:rPr>
        <w:fldChar w:fldCharType="begin" w:fldLock="1"/>
      </w:r>
      <w:r>
        <w:rPr>
          <w:lang w:val="en-US"/>
        </w:rPr>
        <w:instrText>ADDIN CSL_CITATION {"citationItems":[{"id":"ITEM-1","itemData":{"abstract":"The natural disaster such as earthquake, tsunami, volcano eruption, hurricane, flood and landslide may occur to anyone, whenever, and wherever. According to the various sources, in Indonesia 87% are the natural disaster prone regions, or of 440 Urban/Regency territories, 383 out of them are natural disaster prone regions. The objective of this paper is to assist the socialization the understanding of the community in Indonesia on natural disaster is very low. The data or information is obtained from the bibliography of various sources. What should be taken into account are the focus on the preparedness, impact mitigation, emergency response, rehabilitation and recovery as well a reconstruction which can be conducted to minimize the impact, and the affected area will be expectedly recoverable as usual, and even improved mentally, economically, infrastructural and in other social life","author":[{"dropping-particle":"","family":"Paidi","given":"","non-dropping-particle":"","parse-names":false,"suffix":""}],"container-title":"Widya","id":"ITEM-1","issued":{"date-parts":[["2012"]]},"title":"Pengelolaan manajemen risiko bencana alam di indonesia","type":"article-journal"},"uris":["http://www.mendeley.com/documents/?uuid=01feb5f7-0345-40f8-95e6-72ee8ec2217d"]}],"mendeley":{"formattedCitation":"(Paidi, 2012)","plainTextFormattedCitation":"(Paidi, 2012)","previouslyFormattedCitation":"(Paidi, 2012)"},"properties":{"noteIndex":0},"schema":"https://github.com/citation-style-language/schema/raw/master/csl-citation.json"}</w:instrText>
      </w:r>
      <w:r>
        <w:rPr>
          <w:lang w:val="en-US"/>
        </w:rPr>
        <w:fldChar w:fldCharType="separate"/>
      </w:r>
      <w:r>
        <w:rPr>
          <w:noProof/>
          <w:lang w:val="en-US"/>
        </w:rPr>
        <w:t>(Paidi, 2012)</w:t>
      </w:r>
      <w:r>
        <w:rPr>
          <w:lang w:val="en-US"/>
        </w:rPr>
        <w:fldChar w:fldCharType="end"/>
      </w:r>
      <w:r>
        <w:rPr>
          <w:lang w:val="en-US"/>
        </w:rPr>
        <w:t xml:space="preserve">. Beberapa program pemerintah yang mendukung mitigasi bencana sangat diperlukan. Seperti yang tertuang dalam Undang-undang nomor 24 tahun 2007, tentang penanggulangan bencana, dimana pemerintah harus memberikan perlindungan kepada masyarakat dari ancaman bencana. Sedangkan pemerintah daerah, memiliki tanggungjawab untuk melakukan kegiatan dalam rangka pengurangan risiko bencana dan pemaduan pengurangan risiko bencana dengan program pembangunan </w:t>
      </w:r>
      <w:r>
        <w:rPr>
          <w:lang w:val="en-US"/>
        </w:rPr>
        <w:fldChar w:fldCharType="begin" w:fldLock="1"/>
      </w:r>
      <w:r>
        <w:rPr>
          <w:lang w:val="en-US"/>
        </w:rPr>
        <w:instrText>ADDIN CSL_CITATION {"citationItems":[{"id":"ITEM-1","itemData":{"DOI":"10.1111/jnu.12029","ISSN":"15276546","PMID":"23574544","abstract":"Purpose: This article is a descriptive analysis of rural nurses' perceived readiness to manage disaster situations. Design and Methods: The 58-item Disaster Readiness Questionnaire was used to survey hospital-based nurses from rural communities in Texas during the summer of 2011. The data were collected by emailing a link through the various hospital intranet sites, resulting in a sample size of 620 nurses. Results: Findings revealed that most nurses are not confident in their abilities to respond to major disaster events. The nurses who were confident were more likely to have had actual prior experience in disasters or shelters. Self-regulation of behavior (motivation) was a significant predictor of perceived nurse competence to manage disasters only in regard to the nurse's willingness to assume the risk of involvement in a disaster situation. Healthcare climate (job satisfaction) was not a determinant of disaster preparedness. Conclusions: Global increases in natural and human-induced disasters have called attention to the part that health providers play in mitigation and recovery. Since nurses are involved in planning, mitigation, response, and recovery aspects of disasters, they should actively seek opportunities to participate in actual disaster events, mock drills, and further educational opportunities specific to disaster preparedness. Administrators must support and encourage disaster preparedness education of nurses to promote hospital readiness to provide community care delivery in the event of a disaster situation. Clinical Relevance: Nursing comprises the largest healthcare workforce, and yet there is very little research examining nurses' readiness for disaster. © 2013 Sigma Theta Tau International.","author":[{"dropping-particle":"","family":"Baack","given":"Sylvia","non-dropping-particle":"","parse-names":false,"suffix":""},{"dropping-particle":"","family":"Alfred","given":"Danita","non-dropping-particle":"","parse-names":false,"suffix":""}],"container-title":"Journal of Nursing Scholarship","id":"ITEM-1","issued":{"date-parts":[["2013"]]},"title":"Nurses' preparedness and perceived competence in managing disasters","type":"article-journal"},"uris":["http://www.mendeley.com/documents/?uuid=a01f8244-027f-4fdf-8aa6-758da325232e"]},{"id":"ITEM-2","itemData":{"DOI":"10.1177/0011392113484456","ISSN":"00113921","abstract":"Disaster studies address the social and behavioral aspects of sudden onset collective stress situations typically referred to as mass emergencies or disasters. These situations can be created by natural hazards, technological accidents, violent intergroup conflicts, shortages of vital resources, and other major hazards to life, health, property, well-being, and everyday routines. Disaster studies address the impacts of these events on all social units ranging from individuals and households to nation-states. All aspects of the life history of such events, both actual and threatened, are examined in terms of the ways in which populations at risk conduct hazard and vulnerability analyses as well as plan and implement mitigation, preparedness, response, and recovery actions. © The Author(s) 2013.","author":[{"dropping-particle":"","family":"Lindell","given":"Michael K.","non-dropping-particle":"","parse-names":false,"suffix":""}],"container-title":"Current Sociology","id":"ITEM-2","issued":{"date-parts":[["2013"]]},"title":"Disaster studies","type":"article-journal"},"uris":["http://www.mendeley.com/documents/?uuid=1dd82be9-90b5-488b-9a03-f6e3ab695025"]},{"id":"ITEM-3","itemData":{"DOI":"10.1111/nhs.12132","ISSN":"14410745","author":[{"dropping-particle":"","family":"Petrini","given":"Marcia A.","non-dropping-particle":"","parse-names":false,"suffix":""}],"container-title":"Nursing and Health Sciences","id":"ITEM-3","issued":{"date-parts":[["2014"]]},"title":"Mitigation, resilience, and nursing","type":"article"},"uris":["http://www.mendeley.com/documents/?uuid=52187d85-a458-45b9-9810-8f90b9934ef6"]}],"mendeley":{"formattedCitation":"(Baack &amp; Alfred, 2013; Lindell, 2013; Petrini, 2014)","plainTextFormattedCitation":"(Baack &amp; Alfred, 2013; Lindell, 2013; Petrini, 2014)","previouslyFormattedCitation":"(Baack &amp; Alfred, 2013; Lindell, 2013; Petrini, 2014)"},"properties":{"noteIndex":0},"schema":"https://github.com/citation-style-language/schema/raw/master/csl-citation.json"}</w:instrText>
      </w:r>
      <w:r>
        <w:rPr>
          <w:lang w:val="en-US"/>
        </w:rPr>
        <w:fldChar w:fldCharType="separate"/>
      </w:r>
      <w:r>
        <w:rPr>
          <w:noProof/>
          <w:lang w:val="en-US"/>
        </w:rPr>
        <w:t>(Baack &amp; Alfred, 2013; Lindell, 2013; Petrini, 2014)</w:t>
      </w:r>
      <w:r>
        <w:rPr>
          <w:lang w:val="en-US"/>
        </w:rPr>
        <w:fldChar w:fldCharType="end"/>
      </w:r>
      <w:r>
        <w:rPr>
          <w:lang w:val="en-US"/>
        </w:rPr>
        <w:t>.</w:t>
      </w:r>
    </w:p>
    <w:p w:rsidR="00B7331B" w:rsidRDefault="00B7331B" w:rsidP="00B7331B">
      <w:pPr>
        <w:pStyle w:val="JKKBodyTeks"/>
        <w:rPr>
          <w:lang w:val="en-US"/>
        </w:rPr>
      </w:pPr>
      <w:r>
        <w:rPr>
          <w:lang w:val="en-US"/>
        </w:rPr>
        <w:t xml:space="preserve">Studi kesiapsiagaan mitigasi bencana perlu melibatkan berbagai pihak, seperti masyarakat, lembaga dan organisasi tertentu dan pemerintah. Keterlibatan tersebut meliputi perencanaan, pendidikan dan pelatihan kepada masyarakat yang secara langsung berada pada wilayah tertentu dengan risiko bencana tertentu. Pada tahun 2004, pengembangan program dan pesan radio untuk meningkatkan ketahanan terhadap bencana dilakukan di Aceh pasca bencana tsunami. Jaringan komunitas dan sosial selama situasi bencana sangat penting, terutama untuk melakukan komunikasi dan koordinasi serta distribusi bantuan ketika terjadi bencana </w:t>
      </w:r>
      <w:r>
        <w:rPr>
          <w:lang w:val="en-US"/>
        </w:rPr>
        <w:fldChar w:fldCharType="begin" w:fldLock="1"/>
      </w:r>
      <w:r>
        <w:rPr>
          <w:lang w:val="en-US"/>
        </w:rPr>
        <w:instrText>ADDIN CSL_CITATION {"citationItems":[{"id":"ITEM-1","itemData":{"DOI":"10.1016/J.APNR.2017.06.004","ISSN":"0897-1897","abstract":"BACKGROUND\nEmergency nurses are expected to provide required nursing services by using their professional expertise to reduce the risk posed by disasters. Thus, emergency nurses' disaster nursing core competencies are essential for coping with disasters. The purpose of the study reported here was to identify factors influencing the disaster nursing core competencies of emergency nurses. \n\nMETHODS\nA survey was conducted among 231 emergency nurses working in 12 hospitals in South Korea. Data were collected on disaster-related experience, attitude, knowledge, and disaster nursing core competencies by means of a questionnaire. \n\nRESULTS\nIn multiple regression analysis, disaster-related experience exerted the strongest influence on disaster nursing core competencies, followed by disaster-related knowledge. The explanatory power of these factors was 25.6%, which was statistically significant (F=12.189, p&lt;0.001). \n\nCONCLUSIONS\nThese findings indicate that the disaster nursing core competencies of emergency nurses could be improved through education and training programs that enhance their disaster preparedness. The nursing profession needs to participate actively in the development of disaster nursing education and training programs.","author":[{"dropping-particle":"","family":"Park","given":"Hye-Young","non-dropping-particle":"","parse-names":false,"suffix":""},{"dropping-particle":"","family":"Kim","given":"Ji-Soo","non-dropping-particle":"","parse-names":false,"suffix":""}],"container-title":"Applied Nursing Research","id":"ITEM-1","issued":{"date-parts":[["2017","10","1"]]},"page":"1-5","publisher":"W.B. Saunders","title":"Factors influencing disaster nursing core competencies of emergency nurses","type":"article-journal","volume":"37"},"uris":["http://www.mendeley.com/documents/?uuid=73f4a459-fbfb-3f24-a99f-3414eee195aa"]},{"id":"ITEM-2","itemData":{"DOI":"10.1111/jnu.12186","ISSN":"15475069","abstract":"Purpose: This study examined the perceived level of disaster preparedness in Philippine nurses. Design: A descriptive, cross-sectional research design was used in this study. Methods: Two hundred nurses were invited to participate in the study, with 170 responses (105 hospital nurses and 65 community nurses) or an 85% response rate, during the months of April 2014 through July 2014. Data collection was based on interviews using a standardized instrument, the Disaster Preparedness Questionnaire. Descriptive statistics such as frequencies, means, percentages, and standard deviations were utilized to quantify the responses. Results: Three fourths of the respondents (n = 136, 80%) indicated that they were not fully prepared to respond to disasters, while only 20% (n = 34) acknowledged that they felt they were adequately prepared. Respondents believed that they could function in the primary roles of educator (n = 107, 62.94%), caregiver (n = 104, 61.17%), and counselor (n = 82, 48.24%). More than half of the respondents (n = 98, 57.7%) were not aware of existing protocols of disaster management in the workplace. Courses taken in such areas as first aid (n = 79, 46.4%), field triage (n = 43, 25.29%), and basic cardiac life support (n = 57, 33.53%) were cited as important in preparing for disasters. Conclusions: Nurses in the study revealed that they were not sufficiently prepared for disasters nor were they aware of disaster management protocols in the workplace. Clinical Relevance: Hospital administrators should consider the development and formulation of disaster management protocols and provide appropriate disaster nursing education and training. Nursing curricula should incorporate basic principles of disaster management into nursing courses as a framework for addressing this critical deficit.","author":[{"dropping-particle":"","family":"Labrague","given":"Leodoro J.","non-dropping-particle":"","parse-names":false,"suffix":""},{"dropping-particle":"","family":"Yboa","given":"Begonia C.","non-dropping-particle":"","parse-names":false,"suffix":""},{"dropping-particle":"","family":"Mcenroe-Petitte","given":"Denise M.","non-dropping-particle":"","parse-names":false,"suffix":""},{"dropping-particle":"","family":"Lobrino","given":"Ledwin R.","non-dropping-particle":"","parse-names":false,"suffix":""},{"dropping-particle":"","family":"Brennan","given":"Mary Geronima B.","non-dropping-particle":"","parse-names":false,"suffix":""}],"container-title":"Journal of Nursing Scholarship","id":"ITEM-2","issued":{"date-parts":[["2016"]]},"title":"Disaster Preparedness in Philippine Nurses","type":"article-journal"},"uris":["http://www.mendeley.com/documents/?uuid=1c9506f1-7b8a-4f0e-bda4-8c933c21d847"]},{"id":"ITEM-3","itemData":{"DOI":"10.1111/jnu.12198","ISSN":"15475069","abstract":"Purpose: To develop a vision for the future of disaster nursing, identify barriers and facilitators to achieving the vision, and develop recommendations for nursing practice, education, policy, and research. Design and Methods: A series of semistructured conference calls were conducted with 14 national subject matter experts to generate relevant concepts regarding national nursing workforce preparedness. An invitational daylong workshop hosted by the Veterans Emergency Management Evaluation Center, U.S. Department of Veterans Affairs, was held in December 2014 to expand and refine these concepts. Workshop participants included 70 nurses, emergency managers, and a broad range of public health professionals. Conference call notes and audiotapes of the workshop were transcribed and thematic analysis conducted to outline a vision for the future of nursing in disaster preparedness and response, and to articulate an agenda for nursing practice, education, policy, and research to achieve that vision. Findings: The group developed a vision for the future of disaster nursing, and identified current barriers and opportunities to advance professional disaster nursing. A broad array of recommendations for nursing practice, education, policy, and research, as well as implementation challenges, are summarized in this article. Conclusions: This project represents an important step toward enhancing nurses' roles as leaders, educators, responders, policymakers, and researchers in disaster preparedness and response. Nurses and the health and human service organizations that employ them are encouraged to engage in an expansive national dialogue regarding how to best incorporate the vision and recommendations into their individual lives and the organizations for which they work. Clinical Relevance: Nurses comprise the largest healthcare workforce, and opportunities exist to strengthen disaster readiness, enhance national surge capacity, and build community resiliency to disasters.","author":[{"dropping-particle":"","family":"Veenema","given":"Tener Goodwin","non-dropping-particle":"","parse-names":false,"suffix":""},{"dropping-particle":"","family":"Griffin","given":"Anne","non-dropping-particle":"","parse-names":false,"suffix":""},{"dropping-particle":"","family":"Gable","given":"Alicia R.","non-dropping-particle":"","parse-names":false,"suffix":""},{"dropping-particle":"","family":"Macintyre","given":"Linda","non-dropping-particle":"","parse-names":false,"suffix":""},{"dropping-particle":"","family":"Simons","given":"Radm Nadine","non-dropping-particle":"","parse-names":false,"suffix":""},{"dropping-particle":"","family":"Couig","given":"Mary Pat","non-dropping-particle":"","parse-names":false,"suffix":""},{"dropping-particle":"","family":"Walsh","given":"John J.","non-dropping-particle":"","parse-names":false,"suffix":""},{"dropping-particle":"","family":"Lavin","given":"Roberta Proffitt","non-dropping-particle":"","parse-names":false,"suffix":""},{"dropping-particle":"","family":"Dobalian","given":"Aram","non-dropping-particle":"","parse-names":false,"suffix":""},{"dropping-particle":"","family":"Larson","given":"Elaine","non-dropping-particle":"","parse-names":false,"suffix":""}],"container-title":"Journal of Nursing Scholarship","id":"ITEM-3","issued":{"date-parts":[["2016"]]},"title":"Nurses as Leaders in Disaster Preparedness and Response-A Call to Action","type":"article-journal"},"uris":["http://www.mendeley.com/documents/?uuid=e690c345-5a36-4cd6-822a-478cddfb4e9f"]}],"mendeley":{"formattedCitation":"(Leodoro J. Labrague, Yboa, Mcenroe-Petitte, Lobrino, &amp; Brennan, 2016; Park &amp; Kim, 2017; Veenema et al., 2016)","plainTextFormattedCitation":"(Leodoro J. Labrague, Yboa, Mcenroe-Petitte, Lobrino, &amp; Brennan, 2016; Park &amp; Kim, 2017; Veenema et al., 2016)","previouslyFormattedCitation":"(Leodoro J. Labrague, Yboa, Mcenroe-Petitte, Lobrino, &amp; Brennan, 2016; Park &amp; Kim, 2017; Veenema et al., 2016)"},"properties":{"noteIndex":0},"schema":"https://github.com/citation-style-language/schema/raw/master/csl-citation.json"}</w:instrText>
      </w:r>
      <w:r>
        <w:rPr>
          <w:lang w:val="en-US"/>
        </w:rPr>
        <w:fldChar w:fldCharType="separate"/>
      </w:r>
      <w:r>
        <w:rPr>
          <w:noProof/>
          <w:lang w:val="en-US"/>
        </w:rPr>
        <w:t>(Leodoro J. Labrague, Yboa, Mcenroe-Petitte, Lobrino, &amp; Brennan, 2016; Park &amp; Kim, 2017; Veenema et al., 2016)</w:t>
      </w:r>
      <w:r>
        <w:rPr>
          <w:lang w:val="en-US"/>
        </w:rPr>
        <w:fldChar w:fldCharType="end"/>
      </w:r>
      <w:r>
        <w:rPr>
          <w:lang w:val="en-US"/>
        </w:rPr>
        <w:t>.</w:t>
      </w:r>
    </w:p>
    <w:p w:rsidR="00B7331B" w:rsidRDefault="00B7331B" w:rsidP="00B7331B">
      <w:pPr>
        <w:pStyle w:val="JKKBodyTeks"/>
        <w:rPr>
          <w:lang w:val="en-US"/>
        </w:rPr>
      </w:pPr>
      <w:r>
        <w:rPr>
          <w:lang w:val="en-US"/>
        </w:rPr>
        <w:t xml:space="preserve">Peningkatan global dalam bencana alam yang disebabkan oleh manusia telah meminta perhatian pada bagian yang dimainkan oleh penyedia layanan kesehatan dalam mitigasi bencana. Tenaga kesehatan seperti dokter, perawat dan tenaga medis yang lain memiliki peran dalam pengelolaan sumber daya yang tinggal di wilayah bencana. beberapa tenaga medis menyampaikan bahwa sebagian besar tidak percaya diri dengan kemampuannya dan tidak tahu bagaimana merespon peristiwa bencana yang besar. Beberapa persiapan dalam rangka mitigasi yang bisa dilakukan adalah memberikan latihan rutin, pendidikan kesehatan dan simulasi lanjut khusus untuk kesiapan bencana, serta pembentukan komunitas relawan antar tenaga kesehatan </w:t>
      </w:r>
      <w:r>
        <w:rPr>
          <w:lang w:val="en-US"/>
        </w:rPr>
        <w:fldChar w:fldCharType="begin" w:fldLock="1"/>
      </w:r>
      <w:r>
        <w:rPr>
          <w:lang w:val="en-US"/>
        </w:rPr>
        <w:instrText>ADDIN CSL_CITATION {"citationItems":[{"id":"ITEM-1","itemData":{"DOI":"10.1016/J.AENJ.2010.12.001","ISSN":"1574-6267","abstract":"Nurses need to be equipped with appropriate nursing skills, knowledge and management strategies in order to respond to disaster events. The 2004 tsunami was a major disaster that tested the skills and response of nurses involved in the care of patients affected by the tsunami. The aims of this descriptive correlational study were: (1) to describe the level of perceived clinical skills for tsunami care among nurses, and (2) to examine the relationship between knowledge, clinical experience and perceived clinical skills for tsunami care among nurses in Banda Aceh, Indonesia. Purposive sampling recruited 78 nurses in a provincial hospital in Banda Aceh, Indonesia. Data were collected using a questionnaire that consisted of four main parts: Demographic Data Questionnaire (DDQ), Nurses’ Clinical Experience Questionnaire (NCEQ), Nurses’ Knowledge Tsunami Care Questionnaire (NKTCQ), and Tsunami Care Questionnaire (TCQ). Overall, perceived clinical skills for tsunami care were at a moderate level with the total mean score of 3.41 (SD=0.87). Pearson product moment correlation coefficients were used to investigate the relationship between perceived clinical skills for tsunami care and knowledge, and clinical experience. Knowledge and clinical experience had a significant low positive correlation with perceived clinical skills for tsunami care (r=0.24, p&lt;0.05); and (r=0.40, p&lt;0.01), respectively. The study revealed that nurses in the hospital should improve their knowledge and skills in order to respond to disasters.","author":[{"dropping-particle":"","family":"Husna","given":"Cut","non-dropping-particle":"","parse-names":false,"suffix":""},{"dropping-particle":"","family":"Hatthakit","given":"Urai","non-dropping-particle":"","parse-names":false,"suffix":""},{"dropping-particle":"","family":"Chaowalit","given":"Aranya","non-dropping-particle":"","parse-names":false,"suffix":""}],"container-title":"Australasian Emergency Nursing Journal","id":"ITEM-1","issue":"2","issued":{"date-parts":[["2011","5","1"]]},"page":"95-102","publisher":"Elsevier","title":"Do knowledge and clinical experience have specific roles in perceived clinical skills for tsunami care among nurses in Banda Aceh, Indonesia?","type":"article-journal","volume":"14"},"uris":["http://www.mendeley.com/documents/?uuid=e9536a51-7512-39bb-b64c-bcf4f5c6a55f"]},{"id":"ITEM-2","itemData":{"DOI":"10.1111/jnu.12029","ISSN":"15276546","PMID":"23574544","abstract":"Purpose: This article is a descriptive analysis of rural nurses' perceived readiness to manage disaster situations. Design and Methods: The 58-item Disaster Readiness Questionnaire was used to survey hospital-based nurses from rural communities in Texas during the summer of 2011. The data were collected by emailing a link through the various hospital intranet sites, resulting in a sample size of 620 nurses. Results: Findings revealed that most nurses are not confident in their abilities to respond to major disaster events. The nurses who were confident were more likely to have had actual prior experience in disasters or shelters. Self-regulation of behavior (motivation) was a significant predictor of perceived nurse competence to manage disasters only in regard to the nurse's willingness to assume the risk of involvement in a disaster situation. Healthcare climate (job satisfaction) was not a determinant of disaster preparedness. Conclusions: Global increases in natural and human-induced disasters have called attention to the part that health providers play in mitigation and recovery. Since nurses are involved in planning, mitigation, response, and recovery aspects of disasters, they should actively seek opportunities to participate in actual disaster events, mock drills, and further educational opportunities specific to disaster preparedness. Administrators must support and encourage disaster preparedness education of nurses to promote hospital readiness to provide community care delivery in the event of a disaster situation. Clinical Relevance: Nursing comprises the largest healthcare workforce, and yet there is very little research examining nurses' readiness for disaster. © 2013 Sigma Theta Tau International.","author":[{"dropping-particle":"","family":"Baack","given":"Sylvia","non-dropping-particle":"","parse-names":false,"suffix":""},{"dropping-particle":"","family":"Alfred","given":"Danita","non-dropping-particle":"","parse-names":false,"suffix":""}],"container-title":"Journal of Nursing Scholarship","id":"ITEM-2","issued":{"date-parts":[["2013"]]},"title":"Nurses' preparedness and perceived competence in managing disasters","type":"article-journal"},"uris":["http://www.mendeley.com/documents/?uuid=a01f8244-027f-4fdf-8aa6-758da325232e"]},{"id":"ITEM-3","itemData":{"DOI":"10.1016/J.NEPR.2015.09.012","ISSN":"1471-5953","abstract":"The World Health Organization and the International Council of Nurses recognises the importance of nurses' involvement in disaster preparedness and response. The aim of this study was to describe and compare self-reported disaster nursing competence (DNC) among nursing students (NSs) and among registered nurses (RNs) with professional experience. Further to investigate possible associations between self-reported DNC and background factors. A cross-sectional study was conducted of 569 NSs and 227 RNs. All respondents completed the 88-item Nurse Professional Competence Scale, including three items assessing DNC. Significant differences were found among the NSs depending on which University/University College they had attended. RNs reported significantly higher overall DNC and better ability to handle situations involving violence, and to apply principles of disaster medicine during serious events. RNs working in emergency care reported significantly better DNC ability, compared with RNs working in other areas of healthcare. Multiple linear regression analysis showed that working night shift and working in emergency care were positively associated with high self-reported overall DNC. The results indicate that workplace experience of serious events increase the readiness of registered nurses to handle violence, to act in accordance with safety regulations, and to apply principles of disaster medicine during serious events.","author":[{"dropping-particle":"","family":"Nilsson","given":"Jan","non-dropping-particle":"","parse-names":false,"suffix":""},{"dropping-particle":"","family":"Johansson","given":"Eva","non-dropping-particle":"","parse-names":false,"suffix":""},{"dropping-particle":"","family":"Carlsson","given":"Marianne","non-dropping-particle":"","parse-names":false,"suffix":""},{"dropping-particle":"","family":"Florin","given":"Jan","non-dropping-particle":"","parse-names":false,"suffix":""},{"dropping-particle":"","family":"Leksell","given":"Janeth","non-dropping-particle":"","parse-names":false,"suffix":""},{"dropping-particle":"","family":"Lepp","given":"Margret","non-dropping-particle":"","parse-names":false,"suffix":""},{"dropping-particle":"","family":"Lindholm","given":"Christina","non-dropping-particle":"","parse-names":false,"suffix":""},{"dropping-particle":"","family":"Nordström","given":"Gun","non-dropping-particle":"","parse-names":false,"suffix":""},{"dropping-particle":"","family":"Theander","given":"Kersti","non-dropping-particle":"","parse-names":false,"suffix":""},{"dropping-particle":"","family":"Wilde-Larsson","given":"Bodil","non-dropping-particle":"","parse-names":false,"suffix":""},{"dropping-particle":"","family":"Gardulf","given":"Ann","non-dropping-particle":"","parse-names":false,"suffix":""}],"container-title":"Nurse Education in Practice","id":"ITEM-3","issued":{"date-parts":[["2016","3","1"]]},"page":"102-108","publisher":"Churchill Livingstone","title":"Disaster nursing: Self-reported competence of nursing students and registered nurses, with focus on their readiness to manage violence, serious events and disasters","type":"article-journal","volume":"17"},"uris":["http://www.mendeley.com/documents/?uuid=8d089572-3730-31f7-b0ed-69a7cfa0143e"]}],"mendeley":{"formattedCitation":"(Baack &amp; Alfred, 2013; Husna, Hatthakit, &amp; Chaowalit, 2011; Nilsson et al., 2016)","plainTextFormattedCitation":"(Baack &amp; Alfred, 2013; Husna, Hatthakit, &amp; Chaowalit, 2011; Nilsson et al., 2016)","previouslyFormattedCitation":"(Baack &amp; Alfred, 2013; Husna, Hatthakit, &amp; Chaowalit, 2011; Nilsson et al., 2016)"},"properties":{"noteIndex":0},"schema":"https://github.com/citation-style-language/schema/raw/master/csl-citation.json"}</w:instrText>
      </w:r>
      <w:r>
        <w:rPr>
          <w:lang w:val="en-US"/>
        </w:rPr>
        <w:fldChar w:fldCharType="separate"/>
      </w:r>
      <w:r>
        <w:rPr>
          <w:noProof/>
          <w:lang w:val="en-US"/>
        </w:rPr>
        <w:t>(Baack &amp; Alfred, 2013; Husna, Hatthakit, &amp; Chaowalit, 2011; Nilsson et al., 2016)</w:t>
      </w:r>
      <w:r>
        <w:rPr>
          <w:lang w:val="en-US"/>
        </w:rPr>
        <w:fldChar w:fldCharType="end"/>
      </w:r>
      <w:r>
        <w:rPr>
          <w:lang w:val="en-US"/>
        </w:rPr>
        <w:t xml:space="preserve">. </w:t>
      </w:r>
    </w:p>
    <w:p w:rsidR="00B7331B" w:rsidRDefault="00B7331B" w:rsidP="00B7331B">
      <w:pPr>
        <w:pStyle w:val="JKKBodyTeks"/>
        <w:rPr>
          <w:lang w:val="en-US"/>
        </w:rPr>
      </w:pPr>
      <w:r>
        <w:rPr>
          <w:lang w:val="en-US"/>
        </w:rPr>
        <w:t xml:space="preserve">Kajian terkait mangrove membuktikan bisa memberikan kontribusi yang tinggi dalam menjaga stok pangan pesisir dan benteng alami dari tsunami. Hampir seperempat bagian mangrove dunia atau sedikitnya 3.5 juta hektar lahan mangrove berada di Indonesia </w:t>
      </w:r>
      <w:r>
        <w:rPr>
          <w:lang w:val="en-US"/>
        </w:rPr>
        <w:fldChar w:fldCharType="begin" w:fldLock="1"/>
      </w:r>
      <w:r>
        <w:rPr>
          <w:lang w:val="en-US"/>
        </w:rPr>
        <w:instrText>ADDIN CSL_CITATION {"citationItems":[{"id":"ITEM-1","itemData":{"DOI":"10.1111/gcb.12341","ISSN":"13541013","abstract":"Mangroves are species of halophytic intertidal trees and shrubs derived from tropical genera and are likely delimited in latitudinal range by varying sensitivity to cold. There is now sufficient evidence that mangrove species have proliferated at or near their poleward limits on at least five continents over the past half century, at the expense of salt marsh. Avicennia is the most cold-tolerant genus worldwide, and is the subject of most of the observed changes. Avicennia germinans has extended in range along the USA Atlantic coast and expanded into salt marsh as a consequence of lower frost frequency and intensity in the southern USA. The genus has also expanded into salt marsh at its southern limit in Peru, and on the Pacific coast of Mexico. Mangroves of several species have expanded in extent and replaced salt marsh where protected within mangrove reserves in Guangdong Province, China. In south-eastern Australia, the expansion of Avicennia marina into salt marshes is now well documented, and Rhizophora stylosa has extended its range southward, while showing strong population growth within estuaries along its southern limits in northern New South Wales. Avicennia marina has extended its range southwards in South Africa. The changes are consistent with the poleward extension of temperature thresholds coincident with sea-level rise, although the specific mechanism of range extension might be complicated by limitations on dispersal or other factors. The shift from salt marsh to mangrove dominance on subtropical and temperate shorelines has important implications for ecological structure, function, and global change adaptation. © 2013 John Wiley &amp; Sons Ltd.","author":[{"dropping-particle":"","family":"Saintilan","given":"Neil","non-dropping-particle":"","parse-names":false,"suffix":""},{"dropping-particle":"","family":"Wilson","given":"Nicholas C.","non-dropping-particle":"","parse-names":false,"suffix":""},{"dropping-particle":"","family":"Rogers","given":"Kerrylee","non-dropping-particle":"","parse-names":false,"suffix":""},{"dropping-particle":"","family":"Rajkaran","given":"Anusha","non-dropping-particle":"","parse-names":false,"suffix":""},{"dropping-particle":"","family":"Krauss","given":"Ken W.","non-dropping-particle":"","parse-names":false,"suffix":""}],"container-title":"Global Change Biology","id":"ITEM-1","issued":{"date-parts":[["2014"]]},"title":"Mangrove expansion and salt marsh decline at mangrove poleward limits","type":"article-journal"},"uris":["http://www.mendeley.com/documents/?uuid=69774353-bad6-496b-a17a-b240f3ec9928"]}],"mendeley":{"formattedCitation":"(Saintilan, Wilson, Rogers, Rajkaran, &amp; Krauss, 2014)","plainTextFormattedCitation":"(Saintilan, Wilson, Rogers, Rajkaran, &amp; Krauss, 2014)","previouslyFormattedCitation":"(Saintilan, Wilson, Rogers, Rajkaran, &amp; Krauss, 2014)"},"properties":{"noteIndex":0},"schema":"https://github.com/citation-style-language/schema/raw/master/csl-citation.json"}</w:instrText>
      </w:r>
      <w:r>
        <w:rPr>
          <w:lang w:val="en-US"/>
        </w:rPr>
        <w:fldChar w:fldCharType="separate"/>
      </w:r>
      <w:r>
        <w:rPr>
          <w:noProof/>
          <w:lang w:val="en-US"/>
        </w:rPr>
        <w:t>(Saintilan, Wilson, Rogers, Rajkaran, &amp; Krauss, 2014)</w:t>
      </w:r>
      <w:r>
        <w:rPr>
          <w:lang w:val="en-US"/>
        </w:rPr>
        <w:fldChar w:fldCharType="end"/>
      </w:r>
      <w:r>
        <w:rPr>
          <w:lang w:val="en-US"/>
        </w:rPr>
        <w:t xml:space="preserve">. Salah satu faktor yang membuat kerusakan yang terjadi pada ekosistem mangrove adalah pengelolaan yang tidak dilakukan dengan baik. Perlu dikaji mengenai tata kelola dan pemanfaatan ekosistem mangrove serta menelaah regulasi yang ada terkait ekosistem mangrove </w:t>
      </w:r>
      <w:r>
        <w:rPr>
          <w:lang w:val="en-US"/>
        </w:rPr>
        <w:fldChar w:fldCharType="begin" w:fldLock="1"/>
      </w:r>
      <w:r>
        <w:rPr>
          <w:lang w:val="en-US"/>
        </w:rPr>
        <w:instrText>ADDIN CSL_CITATION {"citationItems":[{"id":"ITEM-1","itemData":{"DOI":"10.1016/J.PROENV.2015.07.058","ISSN":"1878-0296","abstract":"Deforestation in the Wunbaik Reserved Mangrove Forest (WRMF) (22,919ha) has been accelerating since the 1990s. This study focuses on the causes of deforestation and the changes in the livelihoods of the local people. Forty percent of the mangrove forest in the WRMF was lost from 1990 to 2011, when a shrimp pond and a paddy field, known as a ‘kari,’ were created and logging operations were initiated. According to interviews with the members of 104 households of kari farmers, 50% of these farmers had earned their livelihood by fishing before they started to farm, but had changed over tokari farming in the WRMF because of a higher cash income. Deforestation in the WRMF is the result of low enforcement of the Forest Law, and thus strong land-use policies at the national and local levels are necessary to prevent further deforestation in this area.","author":[{"dropping-particle":"","family":"Saw","given":"Aye Aye","non-dropping-particle":"","parse-names":false,"suffix":""},{"dropping-particle":"","family":"Kanzaki","given":"Mamoru","non-dropping-particle":"","parse-names":false,"suffix":""}],"container-title":"Procedia Environmental Sciences","id":"ITEM-1","issued":{"date-parts":[["2015","1","1"]]},"page":"483-492","publisher":"Elsevier","title":"Local Livelihoods and Encroachment into a Mangrove Forest Reserve: A Case Study of the Wunbaik Reserved Mangrove Forest, Myanmar","type":"article-journal","volume":"28"},"uris":["http://www.mendeley.com/documents/?uuid=7e512b47-2ada-3a76-a4c4-f848f702a5c9"]},{"id":"ITEM-2","itemData":{"DOI":"10.1016/B978-0-12-801060-0.00024-1","ISBN":"9780128010600","abstract":"Mangroves play an important role in the coastal ecosystem in terms of the habitat and food sources they provide to various kinds of organisms. In addition, mangroves also act as a line of natural protection that helps shield the coastline against the impact of wind, waves and nearshore currents, promoting the accumulation of sediment. This chapter describes the mechanism of wave attenuation in mangroves, and how the height of waves will reduce by about 20-90% when they propagate through mangroves. This wave reduction is dependent on several factors, such as hydrodynamic or botanical factors of mangrove trees, and geological factors. Information on mangrove deterioration and reforestation efforts in Thailand are also presented, and finally some lines of future research are suggested.","author":[{"dropping-particle":"","family":"Rasmeemasmuang","given":"Thamnoon","non-dropping-particle":"","parse-names":false,"suffix":""},{"dropping-particle":"","family":"Sasaki","given":"Jun","non-dropping-particle":"","parse-names":false,"suffix":""}],"container-title":"Handbook of Coastal Disaster Mitigation for Engineers and Planners","id":"ITEM-2","issued":{"date-parts":[["2015","1","1"]]},"page":"511-535","publisher":"Butterworth-Heinemann","title":"Wave Reduction in Mangrove Forests: General Information and Case Study in Thailand","type":"article-journal"},"uris":["http://www.mendeley.com/documents/?uuid=a95222c6-9625-35fa-b63c-87016a2d785c"]}],"mendeley":{"formattedCitation":"(Rasmeemasmuang &amp; Sasaki, 2015; Saw &amp; Kanzaki, 2015)","plainTextFormattedCitation":"(Rasmeemasmuang &amp; Sasaki, 2015; Saw &amp; Kanzaki, 2015)","previouslyFormattedCitation":"(Rasmeemasmuang &amp; Sasaki, 2015; Saw &amp; Kanzaki, 2015)"},"properties":{"noteIndex":0},"schema":"https://github.com/citation-style-language/schema/raw/master/csl-citation.json"}</w:instrText>
      </w:r>
      <w:r>
        <w:rPr>
          <w:lang w:val="en-US"/>
        </w:rPr>
        <w:fldChar w:fldCharType="separate"/>
      </w:r>
      <w:r>
        <w:rPr>
          <w:noProof/>
          <w:lang w:val="en-US"/>
        </w:rPr>
        <w:t>(Rasmeemasmuang &amp; Sasaki, 2015; Saw &amp; Kanzaki, 2015)</w:t>
      </w:r>
      <w:r>
        <w:rPr>
          <w:lang w:val="en-US"/>
        </w:rPr>
        <w:fldChar w:fldCharType="end"/>
      </w:r>
      <w:r>
        <w:rPr>
          <w:lang w:val="en-US"/>
        </w:rPr>
        <w:t>.</w:t>
      </w:r>
    </w:p>
    <w:p w:rsidR="00B7331B" w:rsidRDefault="00B7331B" w:rsidP="00B7331B">
      <w:pPr>
        <w:pStyle w:val="JKKBodyTeks"/>
        <w:rPr>
          <w:rFonts w:cs="Times New Roman"/>
          <w:lang w:val="en-US"/>
        </w:rPr>
      </w:pPr>
      <w:r>
        <w:rPr>
          <w:rFonts w:cs="Times New Roman"/>
        </w:rPr>
        <w:t xml:space="preserve">Usulan lain untuk mempertahankan ekosistem mangrove yaitu promosi pengelolaan ekosistem mangrove, mengatasi adaptasi dan mitigas perubahan iklim, pemulihan hutan </w:t>
      </w:r>
      <w:r>
        <w:rPr>
          <w:rFonts w:cs="Times New Roman"/>
        </w:rPr>
        <w:lastRenderedPageBreak/>
        <w:t>mangrove dan ekosistem terdegradasi, meningkatkan mata pencaharian masyarakat terkait mangrove, penguatan tata kelola, penegakan hukum dan sistem pemantauan, valuasi jasa lingkungan dan penelitian dan pendidikan untuk pembangunan berkelanjutan ekosistem mangrove</w:t>
      </w:r>
      <w:r>
        <w:rPr>
          <w:rFonts w:cs="Times New Roman"/>
          <w:lang w:val="en-US"/>
        </w:rPr>
        <w:t xml:space="preserve"> </w:t>
      </w:r>
      <w:r>
        <w:rPr>
          <w:rFonts w:cs="Times New Roman"/>
          <w:lang w:val="en-US"/>
        </w:rPr>
        <w:fldChar w:fldCharType="begin" w:fldLock="1"/>
      </w:r>
      <w:r>
        <w:rPr>
          <w:rFonts w:cs="Times New Roman"/>
          <w:lang w:val="en-US"/>
        </w:rPr>
        <w:instrText xml:space="preserve">ADDIN CSL_CITATION {"citationItems":[{"id":"ITEM-1","itemData":{"DOI":"10.1016/J.JENVMAN.2014.01.020","ISSN":"0301-4797","abstract":"Mangrove forests in South Asia occur along the tidal sea edge of Bangladesh, India, Pakistan, and Sri Lanka. These forests provide important ecosystem goods and services to the region's dense coastal populations and support important functions of the biosphere. Mangroves are under threat from both natural and anthropogenic stressors; however the current status and dynamics of the region's mangroves are poorly understood. We mapped the current extent of mangrove forests in South Asia and identified mangrove forest cover change (gain and loss) from 2000 to 2012 using Landsat satellite data. We also conducted three case studies in Indus Delta (Pakistan), Goa (India), and Sundarbans (Bangladesh and India) to identify rates, patterns, and causes of change in greater spatial and thematic details compared to regional assessment of mangrove forests. Our findings revealed that the areal extent of mangrove forests in South Asia is approximately 1,187,476 ha representing </w:instrText>
      </w:r>
      <w:r>
        <w:rPr>
          <w:rFonts w:ascii="Cambria Math" w:hAnsi="Cambria Math" w:cs="Cambria Math"/>
          <w:lang w:val="en-US"/>
        </w:rPr>
        <w:instrText>∼</w:instrText>
      </w:r>
      <w:r>
        <w:rPr>
          <w:rFonts w:cs="Times New Roman"/>
          <w:lang w:val="en-US"/>
        </w:rPr>
        <w:instrText>7% of the global total. Our results showed that from 2000 to 2012, 92,135 ha of mangroves were deforested and 80,461 ha were reforested with a net loss of 11,673 ha. In all three case studies, mangrove areas have remained the same or increased slightly, however, the turnover was greater than the net change. Both, natural and anthropogenic factors are responsible for the change and turnover. The major causes of forest cover change are similar throughout the region; however, specific factors may be dominant in specific areas. Major causes of deforestation in South Asia include (i) conversion to other land use (e.g. conversion to agriculture, shrimp farms, development, and human settlement), (ii) over-harvesting (e.g. grazing, browsing and lopping, and fishing), (iii) pollution, (iv) decline in freshwater availability, (v) floodings, (vi) reduction of silt deposition, (vii) coastal erosion, and (viii) disturbances from tropical cyclones and tsunamis. Our analysis in the region's diverse socio-economic and environmental conditions highlights complex patterns of mangrove distribution and change. Results from this study provide important insight to the conservation and management of the important and threatened South Asian mangrove ecosystem.","author":[{"dropping-particle":"","family":"Giri","given":"Chandra","non-dropping-particle":"","parse-names":false,"suffix":""},{"dropping-particle":"","family":"Long","given":"Jordan","non-dropping-particle":"","parse-names":false,"suffix":""},{"dropping-particle":"","family":"Abbas","given":"Sawaid","non-dropping-particle":"","parse-names":false,"suffix":""},{"dropping-particle":"","family":"Murali","given":"R.Mani","non-dropping-particle":"","parse-names":false,"suffix":""},{"dropping-particle":"","family":"Qamer","given":"Faisal M.","non-dropping-particle":"","parse-names":false,"suffix":""},{"dropping-particle":"","family":"Pengra","given":"Bruce","non-dropping-particle":"","parse-names":false,"suffix":""},{"dropping-particle":"","family":"Thau","given":"David","non-dropping-particle":"","parse-names":false,"suffix":""}],"container-title":"Journal of Environmental Management","id":"ITEM-1","issued":{"date-parts":[["2015","1","15"]]},"page":"101-111","publisher":"Academic Press","title":"Distribution and dynamics of mangrove forests of South Asia","type":"article-journal","volume":"148"},"uris":["http://www.mendeley.com/documents/?uuid=c0559180-3637-37a5-9e10-5b78fbee6e52"]},{"id":"ITEM-2","itemData":{"DOI":"10.1016/J.MARPOL.2014.09.013","ISSN":"0308-597X","abstract":"This paper systematically reviews and synthesizes peer-reviewed, English-language scientific publications (n=212) to identify relevant research about how Ecosystem-Based Adaptation (EBA) is integrated with coastal planning. Preferred Reporting Items for Systematic reviews and Meta-Analysis (PRISMA) methodology is applied in this study. Attention was given to studies concerning human-environment interactions as opposed to physical or biological climate change issues alone because the coastal planning and EBA approach addresses the management of human actions in nature. The literature references include the issue of climate change (77%); however, limited evidence of EBA in coastal areas are reported (18%), and it is evident that the issues have become relevant in the scientific literature published in recent years. Broad texts demonstrate that SLR is one of the major long-term impacts (68%), and all of these papers recognize the most affected ecosystems in the tropics would be mangroves. EBA is an emerging option that can offset anticipated ecosystem losses and improve coastal planning to cope with SLR because it provides benefits beyond climate change stressors. There is a need to synthesize a road map for incorporation of mangrove regulations into local planning instruments and for building capacity for their implementation. Application of PRISMA in marine science will enhance future reviews, facilitate the systematic search and adequately document any theme, and also be useful in determining research gaps or information needs.","author":[{"dropping-particle":"","family":"Sierra-Correa","given":"Paula Cristina","non-dropping-particle":"","parse-names":false,"suffix":""},{"dropping-particle":"","family":"Cantera Kintz","given":"Jaime Ricardo","non-dropping-particle":"","parse-names":false,"suffix":""}],"container-title":"Marine Policy","id":"ITEM-2","issued":{"date-parts":[["2015","1","1"]]},"page":"385-393","publisher":"Pergamon","title":"Ecosystem-based adaptation for improving coastal planning for sea-level rise: A systematic review for mangrove coasts","type":"article-journal","volume":"51"},"uris":["http://www.mendeley.com/documents/?uuid=67eab3e0-63d5-3eca-9787-26e7e024e833"]}],"mendeley":{"formattedCitation":"(Giri et al., 2015; Sierra-Correa &amp; Cantera Kintz, 2015)","plainTextFormattedCitation":"(Giri et al., 2015; Sierra-Correa &amp; Cantera Kintz, 2015)","previouslyFormattedCitation":"(Giri et al., 2015; Sierra-Correa &amp; Cantera Kintz, 2015)"},"properties":{"noteIndex":0},"schema":"https://github.com/citation-style-language/schema/raw/master/csl-citation.json"}</w:instrText>
      </w:r>
      <w:r>
        <w:rPr>
          <w:rFonts w:cs="Times New Roman"/>
          <w:lang w:val="en-US"/>
        </w:rPr>
        <w:fldChar w:fldCharType="separate"/>
      </w:r>
      <w:r>
        <w:rPr>
          <w:rFonts w:cs="Times New Roman"/>
          <w:noProof/>
          <w:lang w:val="en-US"/>
        </w:rPr>
        <w:t>(Giri et al., 2015; Sierra-Correa &amp; Cantera Kintz, 2015)</w:t>
      </w:r>
      <w:r>
        <w:rPr>
          <w:rFonts w:cs="Times New Roman"/>
          <w:lang w:val="en-US"/>
        </w:rPr>
        <w:fldChar w:fldCharType="end"/>
      </w:r>
      <w:r>
        <w:rPr>
          <w:rFonts w:cs="Times New Roman"/>
          <w:lang w:val="en-US"/>
        </w:rPr>
        <w:t xml:space="preserve">. </w:t>
      </w:r>
    </w:p>
    <w:p w:rsidR="00B7331B" w:rsidRDefault="00B7331B" w:rsidP="00B7331B">
      <w:pPr>
        <w:pStyle w:val="JKKBodyTeks"/>
        <w:rPr>
          <w:lang w:val="en-US"/>
        </w:rPr>
      </w:pPr>
      <w:r>
        <w:rPr>
          <w:rFonts w:cs="Times New Roman"/>
        </w:rPr>
        <w:t>Berikut adalah fakta tentang mangrove di Indonesia 1) hampir seperempat dari seluruh ekosistem mangrove dunia berada di Indonesia, mencakup 2.9 juta hektar, hampir sebesar wilayah belgia. 2) hutan mangrove Indonesia menyimpan lima kali lebih banyak karbon disbanding hutan daratan, dan sepertiga dari seluruh karbon yang tersimpan dalam ekosistem pesisir global. Tersimpan lebih dari tiga miliar ton karbon, setara dengan hanya 20 tahun emisi bahan bakar fosil Indonesia tingkat penggunaan 2011. 3) area seluas New York – 55.000 hektar mangrove Indonesia – menghilang tiap tahun. Akuakultur bertanggungjawab atas 40 persen kehilangan mangrove. 4) emisi tahunan dari kerusakan mangrove indonesia sebesar dengan 190 juta ton, setara dengan seluruh 9.5 juta mobil penumpang di Indonesia berjalan keliling dunia dua kali. Lebih dari 40 persen emisi global dari kerusakan ekosistem pesisir, termasuk semak, mangrove dan rumput laut, berasal dari kerusakan mangrove di Indonesia. 5) menghentikan kerusakan mangrove dapat memenuhi seperempat dari target reduksi emisi Indonesia, yaitu sebesar 26 persen pada 2020. Ini setara dengan mengurangi 40 juta mobil di jalanan</w:t>
      </w:r>
      <w:r>
        <w:rPr>
          <w:rFonts w:cs="Times New Roman"/>
          <w:lang w:val="en-US"/>
        </w:rPr>
        <w:t xml:space="preserve"> </w:t>
      </w:r>
      <w:r>
        <w:rPr>
          <w:rFonts w:cs="Times New Roman"/>
          <w:lang w:val="en-US"/>
        </w:rPr>
        <w:fldChar w:fldCharType="begin" w:fldLock="1"/>
      </w:r>
      <w:r>
        <w:rPr>
          <w:rFonts w:cs="Times New Roman"/>
          <w:lang w:val="en-US"/>
        </w:rPr>
        <w:instrText>ADDIN CSL_CITATION {"citationItems":[{"id":"ITEM-1","itemData":{"DOI":"10.1038/nature15538","ISSN":"14764687","abstract":"Sea-level rise can threaten the long-term sustainability of coastal communities and valuable ecosystems such as coral reefs, salt marshes and mangroves. Mangrove forests have the capacity to keep pace with sea-level rise and to avoid inundation through vertical accretion of sediments, which allows them to maintain wetland soil elevations suitable for plant growth. The Indo-Pacific region holds most of the world's mangrove forests, but sediment delivery in this region is declining, owing to anthropogenic activities such as damming of rivers. This decline is of particular concern because the Indo-Pacific region is expected to have variable, but high, rates of future sea-level rise. Here we analyse recent trends in mangrove surface elevation changes across the Indo-Pacific region using data from a network of surface elevation table instruments. We find that sediment availability can enable mangrove forests to maintain rates of soil-surface elevation gain that match or exceed that of sea-level rise, but for 69 per cent of our study sites the current rate of sea-level rise exceeded the soil surface elevation gain. We also present a model based on our field data, which suggests that mangrove forests at sites with low tidal range and low sediment supply could be submerged as early as 2070.","author":[{"dropping-particle":"","family":"Lovelock","given":"Catherine E.","non-dropping-particle":"","parse-names":false,"suffix":""},{"dropping-particle":"","family":"Cahoon","given":"Donald R.","non-dropping-particle":"","parse-names":false,"suffix":""},{"dropping-particle":"","family":"Friess","given":"Daniel A.","non-dropping-particle":"","parse-names":false,"suffix":""},{"dropping-particle":"","family":"Guntenspergen","given":"Glenn R.","non-dropping-particle":"","parse-names":false,"suffix":""},{"dropping-particle":"","family":"Krauss","given":"Ken W.","non-dropping-particle":"","parse-names":false,"suffix":""},{"dropping-particle":"","family":"Reef","given":"Ruth","non-dropping-particle":"","parse-names":false,"suffix":""},{"dropping-particle":"","family":"Rogers","given":"Kerrylee","non-dropping-particle":"","parse-names":false,"suffix":""},{"dropping-particle":"","family":"Saunders","given":"Megan L.","non-dropping-particle":"","parse-names":false,"suffix":""},{"dropping-particle":"","family":"Sidik","given":"Frida","non-dropping-particle":"","parse-names":false,"suffix":""},{"dropping-particle":"","family":"Swales","given":"Andrew","non-dropping-particle":"","parse-names":false,"suffix":""},{"dropping-particle":"","family":"Saintilan","given":"Neil","non-dropping-particle":"","parse-names":false,"suffix":""},{"dropping-particle":"","family":"Thuyen","given":"Le Xuan","non-dropping-particle":"","parse-names":false,"suffix":""},{"dropping-particle":"","family":"Triet","given":"Tran","non-dropping-particle":"","parse-names":false,"suffix":""}],"container-title":"Nature","id":"ITEM-1","issued":{"date-parts":[["2015"]]},"title":"The vulnerability of Indo-Pacific mangrove forests to sea-level rise","type":"article-journal"},"uris":["http://www.mendeley.com/documents/?uuid=c39c1721-f3ee-4fe7-b54f-e1c668b1962f"]},{"id":"ITEM-2","itemData":{"DOI":"10.1016/J.MARPOL.2016.06.025","ISSN":"0308-597X","abstract":"Saline coastal wetlands, such as mangrove and coastal salt marsh, provide many ecosystem services. In Australia, large areas have been lost since European colonization, particularly as a result of drainage, infilling and flood-mitigation works, often starting in the mid-19th century and aimed primarily towards converting land to agricultural, urban or industrial uses. These threats remain ongoing, and will be exacerbated by rapid population growth and climate change in the 21st century. Establishing the effect of wetland loss on the delivery of ecosystem services is confounded by the absence of a nationally consistent approach to mapping wetlands and defining the boundaries of different types of coastal wetland. In addition, climate change and its projected effect on mangrove and salt marsh distribution and ecosystem services is poorly, if at all, acknowledged in existing legislation and policy. Intensifying climate change means that there is little time to be complacent; indeed, there is an urgent need for proper valuation of ecosystem services and explicit recognition of ecosystem services within policy and legislation. Seven actions are identified that could improve protection of coastal wetlands and the ecosystem services they provide, including benchmarking and improving coastal wetland extent and health, reducing complexity and inconsistency in governance arrangements, and facilitating wetland adaptation and ecosystem service delivery using a range of relevant mechanisms. Actions that build upon the momentum to mitigate climate change by sequestering carbon – ‘blue carbon’ – could achieve multiple desirable objectives, including climate-change mitigation and adaptation, floodplain rehabilitation and habitat protection.","author":[{"dropping-particle":"","family":"Rogers","given":"Kerrylee","non-dropping-particle":"","parse-names":false,"suffix":""},{"dropping-particle":"","family":"Boon","given":"Paul I.","non-dropping-particle":"","parse-names":false,"suffix":""},{"dropping-particle":"","family":"Branigan","given":"Simon","non-dropping-particle":"","parse-names":false,"suffix":""},{"dropping-particle":"","family":"Duke","given":"Norman C.","non-dropping-particle":"","parse-names":false,"suffix":""},{"dropping-particle":"","family":"Field","given":"Colin D.","non-dropping-particle":"","parse-names":false,"suffix":""},{"dropping-particle":"","family":"Fitzsimons","given":"James A.","non-dropping-particle":"","parse-names":false,"suffix":""},{"dropping-particle":"","family":"Kirkman","given":"Hugh","non-dropping-particle":"","parse-names":false,"suffix":""},{"dropping-particle":"","family":"Mackenzie","given":"Jock R.","non-dropping-particle":"","parse-names":false,"suffix":""},{"dropping-particle":"","family":"Saintilan","given":"Neil","non-dropping-particle":"","parse-names":false,"suffix":""}],"container-title":"Marine Policy","id":"ITEM-2","issued":{"date-parts":[["2016","10","1"]]},"page":"139-155","publisher":"Pergamon","title":"The state of legislation and policy protecting Australia's mangrove and salt marsh and their ecosystem services","type":"article-journal","volume":"72"},"uris":["http://www.mendeley.com/documents/?uuid=5f696d14-816e-3923-8569-965dd9d1bf15"]}],"mendeley":{"formattedCitation":"(Lovelock et al., 2015; Rogers et al., 2016)","plainTextFormattedCitation":"(Lovelock et al., 2015; Rogers et al., 2016)","previouslyFormattedCitation":"(Lovelock et al., 2015; Rogers et al., 2016)"},"properties":{"noteIndex":0},"schema":"https://github.com/citation-style-language/schema/raw/master/csl-citation.json"}</w:instrText>
      </w:r>
      <w:r>
        <w:rPr>
          <w:rFonts w:cs="Times New Roman"/>
          <w:lang w:val="en-US"/>
        </w:rPr>
        <w:fldChar w:fldCharType="separate"/>
      </w:r>
      <w:r>
        <w:rPr>
          <w:rFonts w:cs="Times New Roman"/>
          <w:noProof/>
          <w:lang w:val="en-US"/>
        </w:rPr>
        <w:t>(Lovelock et al., 2015; Rogers et al., 2016)</w:t>
      </w:r>
      <w:r>
        <w:rPr>
          <w:rFonts w:cs="Times New Roman"/>
          <w:lang w:val="en-US"/>
        </w:rPr>
        <w:fldChar w:fldCharType="end"/>
      </w:r>
      <w:r>
        <w:rPr>
          <w:rFonts w:cs="Times New Roman"/>
          <w:lang w:val="en-US"/>
        </w:rPr>
        <w:t>.</w:t>
      </w:r>
    </w:p>
    <w:p w:rsidR="00B7331B" w:rsidRDefault="00B7331B" w:rsidP="00B7331B">
      <w:pPr>
        <w:pStyle w:val="JKKBodyTeks"/>
        <w:rPr>
          <w:lang w:val="en-US"/>
        </w:rPr>
      </w:pPr>
      <w:r>
        <w:rPr>
          <w:rFonts w:cs="Times New Roman"/>
        </w:rPr>
        <w:t xml:space="preserve">Pada </w:t>
      </w:r>
      <w:r>
        <w:rPr>
          <w:rFonts w:cs="Times New Roman"/>
          <w:i/>
        </w:rPr>
        <w:t xml:space="preserve">International Society for Mangrove Ecosystem </w:t>
      </w:r>
      <w:r>
        <w:rPr>
          <w:rFonts w:cs="Times New Roman"/>
        </w:rPr>
        <w:t xml:space="preserve">(ISME) merumuskan aksi serius tentang ekosistem mangrove dan membahas contoh </w:t>
      </w:r>
      <w:r>
        <w:rPr>
          <w:rFonts w:cs="Times New Roman"/>
          <w:i/>
        </w:rPr>
        <w:t>action plan</w:t>
      </w:r>
      <w:r>
        <w:rPr>
          <w:rFonts w:cs="Times New Roman"/>
        </w:rPr>
        <w:t xml:space="preserve"> yang sudah dilakukan sejumlah komunitas dan berdampak penting. Salah satu solusi yang disampaikan adalah pengelola lahan mangrove yang terdiri dari 272 peserta dari 24 negara mendorong untuk membuat kebijakan, perencana lahan, praktisi dan ilmuwan bidang mangrove, serta organisasi lainnya menggandakan usaha untuk bekerja dengan komunitas pesisir. Untuk memastikan konservasi, restorasi, perlindungan dan pengelolaan berkelanjutan sisa ekosistem mangrove dunia</w:t>
      </w:r>
      <w:r>
        <w:rPr>
          <w:rFonts w:cs="Times New Roman"/>
          <w:lang w:val="en-US"/>
        </w:rPr>
        <w:t xml:space="preserve"> </w:t>
      </w:r>
      <w:r>
        <w:rPr>
          <w:rFonts w:cs="Times New Roman"/>
          <w:lang w:val="en-US"/>
        </w:rPr>
        <w:fldChar w:fldCharType="begin" w:fldLock="1"/>
      </w:r>
      <w:r>
        <w:rPr>
          <w:rFonts w:cs="Times New Roman"/>
          <w:lang w:val="en-US"/>
        </w:rPr>
        <w:instrText>ADDIN CSL_CITATION {"citationItems":[{"id":"ITEM-1","itemData":{"DOI":"10.1038/nature15538","ISSN":"14764687","abstract":"Sea-level rise can threaten the long-term sustainability of coastal communities and valuable ecosystems such as coral reefs, salt marshes and mangroves. Mangrove forests have the capacity to keep pace with sea-level rise and to avoid inundation through vertical accretion of sediments, which allows them to maintain wetland soil elevations suitable for plant growth. The Indo-Pacific region holds most of the world's mangrove forests, but sediment delivery in this region is declining, owing to anthropogenic activities such as damming of rivers. This decline is of particular concern because the Indo-Pacific region is expected to have variable, but high, rates of future sea-level rise. Here we analyse recent trends in mangrove surface elevation changes across the Indo-Pacific region using data from a network of surface elevation table instruments. We find that sediment availability can enable mangrove forests to maintain rates of soil-surface elevation gain that match or exceed that of sea-level rise, but for 69 per cent of our study sites the current rate of sea-level rise exceeded the soil surface elevation gain. We also present a model based on our field data, which suggests that mangrove forests at sites with low tidal range and low sediment supply could be submerged as early as 2070.","author":[{"dropping-particle":"","family":"Lovelock","given":"Catherine E.","non-dropping-particle":"","parse-names":false,"suffix":""},{"dropping-particle":"","family":"Cahoon","given":"Donald R.","non-dropping-particle":"","parse-names":false,"suffix":""},{"dropping-particle":"","family":"Friess","given":"Daniel A.","non-dropping-particle":"","parse-names":false,"suffix":""},{"dropping-particle":"","family":"Guntenspergen","given":"Glenn R.","non-dropping-particle":"","parse-names":false,"suffix":""},{"dropping-particle":"","family":"Krauss","given":"Ken W.","non-dropping-particle":"","parse-names":false,"suffix":""},{"dropping-particle":"","family":"Reef","given":"Ruth","non-dropping-particle":"","parse-names":false,"suffix":""},{"dropping-particle":"","family":"Rogers","given":"Kerrylee","non-dropping-particle":"","parse-names":false,"suffix":""},{"dropping-particle":"","family":"Saunders","given":"Megan L.","non-dropping-particle":"","parse-names":false,"suffix":""},{"dropping-particle":"","family":"Sidik","given":"Frida","non-dropping-particle":"","parse-names":false,"suffix":""},{"dropping-particle":"","family":"Swales","given":"Andrew","non-dropping-particle":"","parse-names":false,"suffix":""},{"dropping-particle":"","family":"Saintilan","given":"Neil","non-dropping-particle":"","parse-names":false,"suffix":""},{"dropping-particle":"","family":"Thuyen","given":"Le Xuan","non-dropping-particle":"","parse-names":false,"suffix":""},{"dropping-particle":"","family":"Triet","given":"Tran","non-dropping-particle":"","parse-names":false,"suffix":""}],"container-title":"Nature","id":"ITEM-1","issued":{"date-parts":[["2015"]]},"title":"The vulnerability of Indo-Pacific mangrove forests to sea-level rise","type":"article-journal"},"uris":["http://www.mendeley.com/documents/?uuid=c39c1721-f3ee-4fe7-b54f-e1c668b1962f"]},{"id":"ITEM-2","itemData":{"DOI":"10.1108/SCM-06-2013-0191","ISSN":"13598546","abstract":"Purpose: This study aims to combine theory and practice to develop an integrated supply chain resilience framework by investigating the inter-dependencies between the strategic literature based concept of supply chain resilience and operational practitioner based disaster management processes. Design/methodology/approach: Utilising an in-depth qualitative case of a collaborative agency, this study identifies best practices within disaster management for insights on the operationalisation of supply chain resilience. Findings: The empirical data leads to the development of an integrated supply chain resilience framework capturing the interplay of disaster management processes and capabilities required to build supply chain resilience. The critical importance of mitigation processes in building supply chain resilience is highlighted. Practical implications: The generic supply chain resilience framework represents a valuable guide for managers when directing resources and planning for building the capabilities required in each phase of disaster management, while remaining strategically focused. The value of the framework is demonstrated by a retrospective analysis of aid operations in response to Hurricane Katrina. Originality/value: The study's results are the first to bridge theory and practice on supply chain resilience. By utilising the unique humanitarian aid disaster supply chain management context, a two-way knowledge and learning flow between humanitarian and commercial organisations is established. © Emerald Group Publishing Limited.","author":[{"dropping-particle":"","family":"Scholten","given":"Kirstin","non-dropping-particle":"","parse-names":false,"suffix":""},{"dropping-particle":"","family":"Scott","given":"Pamela Sharkey","non-dropping-particle":"","parse-names":false,"suffix":""},{"dropping-particle":"","family":"Fynes","given":"Brian","non-dropping-particle":"","parse-names":false,"suffix":""}],"container-title":"Supply Chain Management","id":"ITEM-2","issued":{"date-parts":[["2014"]]},"title":"Mitigation processes - antecedents for building supply chain resilience","type":"article-journal"},"uris":["http://www.mendeley.com/documents/?uuid=246da116-74fa-4b2d-b330-977dcf3cbe63"]}],"mendeley":{"formattedCitation":"(Lovelock et al., 2015; Scholten et al., 2014)","plainTextFormattedCitation":"(Lovelock et al., 2015; Scholten et al., 2014)","previouslyFormattedCitation":"(Lovelock et al., 2015; Scholten et al., 2014)"},"properties":{"noteIndex":0},"schema":"https://github.com/citation-style-language/schema/raw/master/csl-citation.json"}</w:instrText>
      </w:r>
      <w:r>
        <w:rPr>
          <w:rFonts w:cs="Times New Roman"/>
          <w:lang w:val="en-US"/>
        </w:rPr>
        <w:fldChar w:fldCharType="separate"/>
      </w:r>
      <w:r>
        <w:rPr>
          <w:rFonts w:cs="Times New Roman"/>
          <w:noProof/>
          <w:lang w:val="en-US"/>
        </w:rPr>
        <w:t>(Lovelock et al., 2015; Scholten et al., 2014)</w:t>
      </w:r>
      <w:r>
        <w:rPr>
          <w:rFonts w:cs="Times New Roman"/>
          <w:lang w:val="en-US"/>
        </w:rPr>
        <w:fldChar w:fldCharType="end"/>
      </w:r>
      <w:r>
        <w:rPr>
          <w:rFonts w:cs="Times New Roman"/>
          <w:lang w:val="en-US"/>
        </w:rPr>
        <w:t>.</w:t>
      </w:r>
    </w:p>
    <w:p w:rsidR="00B7331B" w:rsidRDefault="00B7331B" w:rsidP="00B7331B">
      <w:pPr>
        <w:pStyle w:val="JKKBodyTeks"/>
        <w:rPr>
          <w:lang w:val="en-US"/>
        </w:rPr>
      </w:pPr>
      <w:r>
        <w:rPr>
          <w:lang w:val="en-US"/>
        </w:rPr>
        <w:t>Fenomena tersebut kemudian diambil oleh beberapa tenaga medis yang ada di wilayah kebumen menjadi sebuah ide untuk membentuk komunitas yang terdiri dari lintas disiplin ilmu kesehatan dan orang awam untuk menanam dan mengelola lahan mangrove yang sudah ada. Oleh karena itu, perlu dikaji lebih lanjut terkait tata kelola dan pemanfaatan ekosistem mangrove yang diinisiasi oleh tenaga kesehatan di wilayah kebumen.</w:t>
      </w:r>
    </w:p>
    <w:p w:rsidR="00B7331B" w:rsidRDefault="00B7331B" w:rsidP="00B7331B">
      <w:pPr>
        <w:pStyle w:val="JKKBodyTeks"/>
      </w:pPr>
    </w:p>
    <w:p w:rsidR="00B7331B" w:rsidRDefault="00B7331B" w:rsidP="00B7331B">
      <w:pPr>
        <w:pStyle w:val="JKKHeading1"/>
      </w:pPr>
      <w:r>
        <w:t>METODE</w:t>
      </w:r>
    </w:p>
    <w:p w:rsidR="00B7331B" w:rsidRDefault="00B7331B" w:rsidP="00B7331B">
      <w:pPr>
        <w:spacing w:after="0" w:line="276" w:lineRule="auto"/>
        <w:ind w:firstLine="720"/>
        <w:jc w:val="both"/>
        <w:rPr>
          <w:lang w:val="en-US"/>
        </w:rPr>
      </w:pPr>
      <w:r>
        <w:rPr>
          <w:rFonts w:ascii="Times New Roman" w:hAnsi="Times New Roman" w:cs="Times New Roman"/>
          <w:sz w:val="24"/>
        </w:rPr>
        <w:t xml:space="preserve">Penelitian ini menggunakan metode kualitatif yang mendeskripsikan tata kelola dan pemanfaatan serta regulasi yang ada termasuk koordinasi, integrasi dan kerjasama dalam implementasi pengelolaan ekosistem mangrove yang efektif dan efisien. Data deskriptif berupa transkip wawancara dari masing-masing partisipan dan rekaman hasil wawancara dalam bentuk suara (mp3). Penelitian ini tidak melakukan survey atau penilaian langsung ke lapangan terkait kondisi ekosistem mangrove. Teknik perolehan data untuk menjawab masalah penelitian didasarkan pada </w:t>
      </w:r>
      <w:r>
        <w:rPr>
          <w:rFonts w:ascii="Times New Roman" w:hAnsi="Times New Roman" w:cs="Times New Roman"/>
          <w:sz w:val="24"/>
          <w:lang w:val="en-US"/>
        </w:rPr>
        <w:t xml:space="preserve">rencana dan implementasi yang sudah dilakukan dalam pengelolaan ekosistem mangrove, peran perawat dalam mitigasi bencana, </w:t>
      </w:r>
      <w:r>
        <w:rPr>
          <w:rFonts w:ascii="Times New Roman" w:hAnsi="Times New Roman" w:cs="Times New Roman"/>
          <w:sz w:val="24"/>
        </w:rPr>
        <w:t>dokumentasi kebijakan atau regulasi yang ada, wawancara mendalam (</w:t>
      </w:r>
      <w:r>
        <w:rPr>
          <w:rFonts w:ascii="Times New Roman" w:hAnsi="Times New Roman" w:cs="Times New Roman"/>
          <w:i/>
          <w:sz w:val="24"/>
        </w:rPr>
        <w:t>indepth interview</w:t>
      </w:r>
      <w:r>
        <w:rPr>
          <w:rFonts w:ascii="Times New Roman" w:hAnsi="Times New Roman" w:cs="Times New Roman"/>
          <w:sz w:val="24"/>
        </w:rPr>
        <w:t xml:space="preserve">) dan </w:t>
      </w:r>
      <w:r>
        <w:rPr>
          <w:rFonts w:ascii="Times New Roman" w:hAnsi="Times New Roman" w:cs="Times New Roman"/>
          <w:i/>
          <w:sz w:val="24"/>
        </w:rPr>
        <w:t>Focus Group Discussion</w:t>
      </w:r>
      <w:r>
        <w:rPr>
          <w:rFonts w:ascii="Times New Roman" w:hAnsi="Times New Roman" w:cs="Times New Roman"/>
          <w:sz w:val="24"/>
        </w:rPr>
        <w:t xml:space="preserve"> (FGD) dengan partisipan. Teknik analisis data menggunakan teknik analisis kualitatif dan dilakukan secara interaktif</w:t>
      </w:r>
      <w:r>
        <w:rPr>
          <w:rFonts w:ascii="Times New Roman" w:hAnsi="Times New Roman" w:cs="Times New Roman"/>
          <w:sz w:val="24"/>
          <w:lang w:val="en-US"/>
        </w:rPr>
        <w:t xml:space="preserve"> serta berlangsung terus menerus sampai tuntas. Aktifitas dalam analisis meliputi reduksi data, penyajian data dan penarikan kesimpulan</w:t>
      </w:r>
      <w:r>
        <w:rPr>
          <w:rFonts w:ascii="Times New Roman" w:hAnsi="Times New Roman" w:cs="Times New Roman"/>
          <w:sz w:val="24"/>
        </w:rPr>
        <w:t>. Partisipan berjumlah 5 orang</w:t>
      </w:r>
      <w:r>
        <w:rPr>
          <w:rFonts w:ascii="Times New Roman" w:hAnsi="Times New Roman" w:cs="Times New Roman"/>
          <w:sz w:val="24"/>
          <w:lang w:val="en-US"/>
        </w:rPr>
        <w:t xml:space="preserve"> yang terdiri dari tenaga medis atau perawat dan orang awam </w:t>
      </w:r>
      <w:r>
        <w:rPr>
          <w:rFonts w:ascii="Times New Roman" w:hAnsi="Times New Roman" w:cs="Times New Roman"/>
          <w:sz w:val="24"/>
          <w:lang w:val="en-US"/>
        </w:rPr>
        <w:lastRenderedPageBreak/>
        <w:t>yang berasal dari beberapa wilayah dan tinggal di sekitar pantai</w:t>
      </w:r>
      <w:r>
        <w:rPr>
          <w:rFonts w:ascii="Times New Roman" w:hAnsi="Times New Roman" w:cs="Times New Roman"/>
          <w:sz w:val="24"/>
        </w:rPr>
        <w:t>. Penelitian dilakukan di kabupaten kebumen</w:t>
      </w:r>
      <w:r>
        <w:rPr>
          <w:rFonts w:ascii="Times New Roman" w:hAnsi="Times New Roman" w:cs="Times New Roman"/>
          <w:sz w:val="24"/>
          <w:lang w:val="en-US"/>
        </w:rPr>
        <w:t>.</w:t>
      </w:r>
    </w:p>
    <w:p w:rsidR="00B7331B" w:rsidRDefault="00B7331B" w:rsidP="00B7331B">
      <w:pPr>
        <w:pStyle w:val="JKKBodyTeks"/>
      </w:pPr>
    </w:p>
    <w:p w:rsidR="00B7331B" w:rsidRDefault="00B7331B" w:rsidP="00B7331B">
      <w:pPr>
        <w:pStyle w:val="JKKHeading1"/>
      </w:pPr>
      <w:r>
        <w:t>HASIL DAN PEMBAHASAN</w:t>
      </w:r>
    </w:p>
    <w:p w:rsidR="00B7331B" w:rsidRDefault="00B7331B" w:rsidP="00B7331B">
      <w:pPr>
        <w:pStyle w:val="JKKBodyTeks"/>
        <w:rPr>
          <w:lang w:val="en-US"/>
        </w:rPr>
      </w:pPr>
      <w:r>
        <w:rPr>
          <w:lang w:val="en-US"/>
        </w:rPr>
        <w:t>Pengelolaan ekosistem mangrove di Kebumen dilakukan oleh pemerintah dan komunitas mangrove, serta bekerjasama dengan Lembaga Penanggulangan Bencana Muhammadiyah. Hal tersebut disampaikan berdasarkan hasil wawancara terhadap partisipan.</w:t>
      </w:r>
    </w:p>
    <w:p w:rsidR="00B7331B" w:rsidRDefault="00B7331B" w:rsidP="00B7331B">
      <w:pPr>
        <w:pStyle w:val="JKKBodyTeks"/>
        <w:rPr>
          <w:lang w:val="en-US"/>
        </w:rPr>
      </w:pPr>
    </w:p>
    <w:p w:rsidR="00B7331B" w:rsidRDefault="00B7331B" w:rsidP="00B7331B">
      <w:pPr>
        <w:pStyle w:val="JKKBodyTeks"/>
        <w:rPr>
          <w:i/>
          <w:lang w:val="en-US"/>
        </w:rPr>
      </w:pPr>
      <w:r>
        <w:rPr>
          <w:lang w:val="en-US"/>
        </w:rPr>
        <w:t>“</w:t>
      </w:r>
      <w:r>
        <w:rPr>
          <w:i/>
          <w:lang w:val="en-US"/>
        </w:rPr>
        <w:t xml:space="preserve"> awal komunitas mangrove dibentuk sebagai inisiasi dan kesadaran kami terhadap kekhawatiran bencana tsunami” (P1)</w:t>
      </w:r>
    </w:p>
    <w:p w:rsidR="00B7331B" w:rsidRDefault="00B7331B" w:rsidP="00B7331B">
      <w:pPr>
        <w:pStyle w:val="JKKBodyTeks"/>
        <w:rPr>
          <w:i/>
          <w:lang w:val="en-US"/>
        </w:rPr>
      </w:pPr>
    </w:p>
    <w:p w:rsidR="00B7331B" w:rsidRDefault="00B7331B" w:rsidP="00B7331B">
      <w:pPr>
        <w:pStyle w:val="JKKBodyTeks"/>
        <w:rPr>
          <w:i/>
          <w:lang w:val="en-US"/>
        </w:rPr>
      </w:pPr>
      <w:r>
        <w:rPr>
          <w:i/>
          <w:lang w:val="en-US"/>
        </w:rPr>
        <w:t>“kami sadar, perlu ada yang bergerak untuk mengurangi dampak karena bencana tsunami” (P3)</w:t>
      </w:r>
    </w:p>
    <w:p w:rsidR="00B7331B" w:rsidRDefault="00B7331B" w:rsidP="00B7331B">
      <w:pPr>
        <w:pStyle w:val="JKKBodyTeks"/>
        <w:rPr>
          <w:i/>
          <w:lang w:val="en-US"/>
        </w:rPr>
      </w:pPr>
    </w:p>
    <w:p w:rsidR="00B7331B" w:rsidRDefault="00B7331B" w:rsidP="00B7331B">
      <w:pPr>
        <w:pStyle w:val="JKKBodyTeks"/>
        <w:rPr>
          <w:lang w:val="en-US"/>
        </w:rPr>
      </w:pPr>
      <w:r>
        <w:rPr>
          <w:i/>
          <w:lang w:val="en-US"/>
        </w:rPr>
        <w:t>“….melihat tingginya intensitas hujan dan kenaikan air laut serta gempa yang berasal dari laut, kami tergerak untuk membentuk sebuah komunitas yang bisa mengurangi korban karena bencana tsunami” (P4).</w:t>
      </w:r>
    </w:p>
    <w:p w:rsidR="00B7331B" w:rsidRDefault="00B7331B" w:rsidP="00B7331B">
      <w:pPr>
        <w:pStyle w:val="JKKBodyTeks"/>
        <w:rPr>
          <w:lang w:val="en-US"/>
        </w:rPr>
      </w:pPr>
    </w:p>
    <w:p w:rsidR="00B7331B" w:rsidRDefault="00B7331B" w:rsidP="00B7331B">
      <w:pPr>
        <w:pStyle w:val="JKKBodyTeks"/>
        <w:rPr>
          <w:lang w:val="en-US"/>
        </w:rPr>
      </w:pPr>
      <w:r>
        <w:rPr>
          <w:lang w:val="en-US"/>
        </w:rPr>
        <w:t>Pembentukan komunitas mangrove tersebut juga menjadi salah satu komunitas baru yang memiliki peran dalam pengurangan risiko bencana tsunami di wilayah kebumen. Komunitas tersebut kemudian berperan aktif untuk melakukan koordinasi dan kolaborasi dengan relawan dan komunitas lain yang memiliki tujuan yang sama.</w:t>
      </w:r>
    </w:p>
    <w:p w:rsidR="00B7331B" w:rsidRDefault="00B7331B" w:rsidP="00B7331B">
      <w:pPr>
        <w:pStyle w:val="JKKBodyTeks"/>
        <w:rPr>
          <w:lang w:val="en-US"/>
        </w:rPr>
      </w:pPr>
    </w:p>
    <w:p w:rsidR="00B7331B" w:rsidRDefault="00B7331B" w:rsidP="00B7331B">
      <w:pPr>
        <w:pStyle w:val="JKKBodyTeks"/>
        <w:rPr>
          <w:i/>
          <w:lang w:val="en-US"/>
        </w:rPr>
      </w:pPr>
      <w:r>
        <w:rPr>
          <w:lang w:val="en-US"/>
        </w:rPr>
        <w:t xml:space="preserve">“…. </w:t>
      </w:r>
      <w:r>
        <w:rPr>
          <w:i/>
          <w:lang w:val="en-US"/>
        </w:rPr>
        <w:t>komunitas mangrove ini masih baru, karena baru dibentuk pada 31 juli kemarin” (P1)</w:t>
      </w:r>
    </w:p>
    <w:p w:rsidR="00B7331B" w:rsidRDefault="00B7331B" w:rsidP="00B7331B">
      <w:pPr>
        <w:pStyle w:val="JKKBodyTeks"/>
        <w:rPr>
          <w:i/>
          <w:lang w:val="en-US"/>
        </w:rPr>
      </w:pPr>
    </w:p>
    <w:p w:rsidR="00B7331B" w:rsidRDefault="00B7331B" w:rsidP="00B7331B">
      <w:pPr>
        <w:pStyle w:val="JKKBodyTeks"/>
        <w:rPr>
          <w:i/>
          <w:lang w:val="en-US"/>
        </w:rPr>
      </w:pPr>
      <w:r>
        <w:rPr>
          <w:i/>
          <w:lang w:val="en-US"/>
        </w:rPr>
        <w:t>“….kami sudah agendakan untuk diskusi dengan BPBD dan beberapa relawan yang ada dikebumen” (P2)</w:t>
      </w:r>
    </w:p>
    <w:p w:rsidR="00B7331B" w:rsidRDefault="00B7331B" w:rsidP="00B7331B">
      <w:pPr>
        <w:pStyle w:val="JKKBodyTeks"/>
        <w:rPr>
          <w:i/>
          <w:lang w:val="en-US"/>
        </w:rPr>
      </w:pPr>
    </w:p>
    <w:p w:rsidR="00B7331B" w:rsidRDefault="00B7331B" w:rsidP="00B7331B">
      <w:pPr>
        <w:pStyle w:val="JKKBodyTeks"/>
        <w:rPr>
          <w:i/>
          <w:lang w:val="en-US"/>
        </w:rPr>
      </w:pPr>
      <w:r>
        <w:rPr>
          <w:i/>
          <w:lang w:val="en-US"/>
        </w:rPr>
        <w:t>“rencana berikutnya adalah kolaborasi dengan relawan lain untuk pengelolaan mangrove yang sudah ada” (P4)</w:t>
      </w:r>
    </w:p>
    <w:p w:rsidR="00B7331B" w:rsidRDefault="00B7331B" w:rsidP="00B7331B">
      <w:pPr>
        <w:pStyle w:val="JKKBodyTeks"/>
        <w:rPr>
          <w:i/>
          <w:lang w:val="en-US"/>
        </w:rPr>
      </w:pPr>
    </w:p>
    <w:p w:rsidR="00B7331B" w:rsidRDefault="00B7331B" w:rsidP="00B7331B">
      <w:pPr>
        <w:pStyle w:val="JKKBodyTeks"/>
        <w:rPr>
          <w:i/>
          <w:lang w:val="en-US"/>
        </w:rPr>
      </w:pPr>
      <w:r>
        <w:rPr>
          <w:i/>
          <w:lang w:val="en-US"/>
        </w:rPr>
        <w:t>“….kemarin kami ditawari bibit pohon mangrove untuk segera ditanam, dan sudah disiapkan lahannya” (P5)</w:t>
      </w:r>
    </w:p>
    <w:p w:rsidR="00B7331B" w:rsidRDefault="00B7331B" w:rsidP="00B7331B">
      <w:pPr>
        <w:pStyle w:val="JKKBodyTeks"/>
      </w:pPr>
    </w:p>
    <w:p w:rsidR="00B7331B" w:rsidRDefault="00B7331B" w:rsidP="00B7331B">
      <w:pPr>
        <w:pStyle w:val="JKKBodyTeks"/>
        <w:rPr>
          <w:lang w:val="en-US"/>
        </w:rPr>
      </w:pPr>
      <w:r>
        <w:rPr>
          <w:lang w:val="en-US"/>
        </w:rPr>
        <w:t>Rencana kegiatan dalam rangka pengurangan risiko bencana dibuat bersama-sama antara komunitas mangrove, warga dan pemerintah atau BPBD. Beberapa program sudah dibentuk untuk kemudian direalisasikan.</w:t>
      </w:r>
    </w:p>
    <w:p w:rsidR="00B7331B" w:rsidRDefault="00B7331B" w:rsidP="00B7331B">
      <w:pPr>
        <w:pStyle w:val="JKKBodyTeks"/>
        <w:rPr>
          <w:lang w:val="en-US"/>
        </w:rPr>
      </w:pPr>
    </w:p>
    <w:p w:rsidR="00B7331B" w:rsidRDefault="00B7331B" w:rsidP="00B7331B">
      <w:pPr>
        <w:pStyle w:val="JKKBodyTeks"/>
        <w:rPr>
          <w:i/>
          <w:lang w:val="en-US"/>
        </w:rPr>
      </w:pPr>
      <w:r>
        <w:rPr>
          <w:lang w:val="en-US"/>
        </w:rPr>
        <w:t>“</w:t>
      </w:r>
      <w:r>
        <w:rPr>
          <w:i/>
          <w:lang w:val="en-US"/>
        </w:rPr>
        <w:t>terakhir kami ikut sosialisasi dan penyuluhan tentang perawatan mangrove” (P2)</w:t>
      </w:r>
    </w:p>
    <w:p w:rsidR="00B7331B" w:rsidRDefault="00B7331B" w:rsidP="00B7331B">
      <w:pPr>
        <w:pStyle w:val="JKKBodyTeks"/>
        <w:rPr>
          <w:i/>
          <w:lang w:val="en-US"/>
        </w:rPr>
      </w:pPr>
      <w:r>
        <w:rPr>
          <w:i/>
          <w:lang w:val="en-US"/>
        </w:rPr>
        <w:t>“kami juga diajak untuk membuat peta atau alur ketika terjadi tsunami” (P3)</w:t>
      </w:r>
    </w:p>
    <w:p w:rsidR="00B7331B" w:rsidRDefault="00B7331B" w:rsidP="00B7331B">
      <w:pPr>
        <w:pStyle w:val="JKKBodyTeks"/>
        <w:rPr>
          <w:i/>
          <w:lang w:val="en-US"/>
        </w:rPr>
      </w:pPr>
    </w:p>
    <w:p w:rsidR="00B7331B" w:rsidRDefault="00B7331B" w:rsidP="00B7331B">
      <w:pPr>
        <w:pStyle w:val="JKKBodyTeks"/>
        <w:rPr>
          <w:i/>
          <w:lang w:val="en-US"/>
        </w:rPr>
      </w:pPr>
      <w:r>
        <w:rPr>
          <w:i/>
          <w:lang w:val="en-US"/>
        </w:rPr>
        <w:t>“BPBD mengajak untuk membuat vegetasi di kawasan pesisir….” (P4)</w:t>
      </w:r>
    </w:p>
    <w:p w:rsidR="00B7331B" w:rsidRDefault="00B7331B" w:rsidP="00B7331B">
      <w:pPr>
        <w:pStyle w:val="JKKBodyTeks"/>
        <w:rPr>
          <w:i/>
          <w:lang w:val="en-US"/>
        </w:rPr>
      </w:pPr>
    </w:p>
    <w:p w:rsidR="00B7331B" w:rsidRDefault="00B7331B" w:rsidP="00B7331B">
      <w:pPr>
        <w:pStyle w:val="JKKBodyTeks"/>
        <w:rPr>
          <w:i/>
          <w:lang w:val="en-US"/>
        </w:rPr>
      </w:pPr>
      <w:r>
        <w:rPr>
          <w:i/>
          <w:lang w:val="en-US"/>
        </w:rPr>
        <w:t>“kami juga ikut memberikan pemeriksaan kesehatan pada kegiatan penyuluhan dan sosialisasi tentang kebencanaan” (P5)</w:t>
      </w:r>
    </w:p>
    <w:p w:rsidR="00B7331B" w:rsidRDefault="00B7331B" w:rsidP="00B7331B">
      <w:pPr>
        <w:pStyle w:val="JKKBodyTeks"/>
        <w:rPr>
          <w:i/>
          <w:lang w:val="en-US"/>
        </w:rPr>
      </w:pPr>
    </w:p>
    <w:p w:rsidR="00B7331B" w:rsidRDefault="00B7331B" w:rsidP="00B7331B">
      <w:pPr>
        <w:pStyle w:val="JKKBodyTeks"/>
        <w:rPr>
          <w:lang w:val="en-US"/>
        </w:rPr>
      </w:pPr>
      <w:r>
        <w:rPr>
          <w:lang w:val="en-US"/>
        </w:rPr>
        <w:lastRenderedPageBreak/>
        <w:t xml:space="preserve">Kendala juga dialami oleh komunitas mangrove dalam melaksanakan rencana serta program yang sudah dibuat. Salah satunya adalah kesadaran masyarakat sekitar kawasan mangrove yang perlu ditingkatkan sehingga bisa bersama-sama merawat keberlangsungan hidup ekosistem mangrove, dalam rangka mengurangi dampak akibat bencana tsunami. </w:t>
      </w:r>
    </w:p>
    <w:p w:rsidR="00B7331B" w:rsidRDefault="00B7331B" w:rsidP="00B7331B">
      <w:pPr>
        <w:pStyle w:val="JKKBodyTeks"/>
        <w:rPr>
          <w:lang w:val="en-US"/>
        </w:rPr>
      </w:pPr>
    </w:p>
    <w:p w:rsidR="00B7331B" w:rsidRDefault="00B7331B" w:rsidP="00B7331B">
      <w:pPr>
        <w:pStyle w:val="JKKBodyTeks"/>
        <w:rPr>
          <w:i/>
          <w:lang w:val="en-US"/>
        </w:rPr>
      </w:pPr>
      <w:r>
        <w:rPr>
          <w:lang w:val="en-US"/>
        </w:rPr>
        <w:t>“</w:t>
      </w:r>
      <w:r>
        <w:rPr>
          <w:i/>
          <w:lang w:val="en-US"/>
        </w:rPr>
        <w:t>kami kesulitan untuk menyadarkan masyarakat, terutama mereka yang memiliki tambak udang di kawasan pesisir pantai” (P1)</w:t>
      </w:r>
    </w:p>
    <w:p w:rsidR="00B7331B" w:rsidRDefault="00B7331B" w:rsidP="00B7331B">
      <w:pPr>
        <w:pStyle w:val="JKKBodyTeks"/>
        <w:rPr>
          <w:i/>
          <w:lang w:val="en-US"/>
        </w:rPr>
      </w:pPr>
    </w:p>
    <w:p w:rsidR="00B7331B" w:rsidRDefault="00B7331B" w:rsidP="00B7331B">
      <w:pPr>
        <w:pStyle w:val="JKKBodyTeks"/>
        <w:rPr>
          <w:i/>
          <w:lang w:val="en-US"/>
        </w:rPr>
      </w:pPr>
      <w:r>
        <w:rPr>
          <w:i/>
          <w:lang w:val="en-US"/>
        </w:rPr>
        <w:t>“beberapa dari mereka merusak bibit mangrove yang baru ditanam” (P3)</w:t>
      </w:r>
    </w:p>
    <w:p w:rsidR="00B7331B" w:rsidRDefault="00B7331B" w:rsidP="00B7331B">
      <w:pPr>
        <w:pStyle w:val="JKKBodyTeks"/>
        <w:rPr>
          <w:i/>
          <w:lang w:val="en-US"/>
        </w:rPr>
      </w:pPr>
    </w:p>
    <w:p w:rsidR="00B7331B" w:rsidRDefault="00B7331B" w:rsidP="00B7331B">
      <w:pPr>
        <w:pStyle w:val="JKKBodyTeks"/>
        <w:rPr>
          <w:i/>
          <w:lang w:val="en-US"/>
        </w:rPr>
      </w:pPr>
      <w:r>
        <w:rPr>
          <w:i/>
          <w:lang w:val="en-US"/>
        </w:rPr>
        <w:t>“…. Mangrove yang baru ditanam rusak terkena gelombang air laut” (P4)</w:t>
      </w:r>
    </w:p>
    <w:p w:rsidR="00B7331B" w:rsidRDefault="00B7331B" w:rsidP="00B7331B">
      <w:pPr>
        <w:pStyle w:val="JKKBodyTeks"/>
        <w:rPr>
          <w:lang w:val="en-US"/>
        </w:rPr>
      </w:pPr>
    </w:p>
    <w:p w:rsidR="00B7331B" w:rsidRDefault="00B7331B" w:rsidP="00B7331B">
      <w:pPr>
        <w:pStyle w:val="JKKBodyTeks"/>
        <w:rPr>
          <w:lang w:val="en-US"/>
        </w:rPr>
      </w:pPr>
      <w:r>
        <w:rPr>
          <w:lang w:val="en-US"/>
        </w:rPr>
        <w:t>Tenaga medis atau perawat juga memiliki peran penting dalam kesiapsiagaan dalam bencana. Peran perawat sebagai pemimpin, pendidik, penanggap, pembuat kebijakan dan peneliti kesiapsiagaan dan respon bencana.</w:t>
      </w:r>
    </w:p>
    <w:p w:rsidR="00B7331B" w:rsidRDefault="00B7331B" w:rsidP="00B7331B">
      <w:pPr>
        <w:pStyle w:val="JKKBodyTeks"/>
        <w:rPr>
          <w:lang w:val="en-US"/>
        </w:rPr>
      </w:pPr>
    </w:p>
    <w:p w:rsidR="00B7331B" w:rsidRDefault="00B7331B" w:rsidP="00B7331B">
      <w:pPr>
        <w:pStyle w:val="JKKBodyTeks"/>
        <w:rPr>
          <w:i/>
          <w:lang w:val="en-US"/>
        </w:rPr>
      </w:pPr>
      <w:r>
        <w:rPr>
          <w:lang w:val="en-US"/>
        </w:rPr>
        <w:t>“</w:t>
      </w:r>
      <w:r>
        <w:rPr>
          <w:i/>
          <w:lang w:val="en-US"/>
        </w:rPr>
        <w:t>bencana tanah longsor kemarin kami ditugaskan langsung oleh Rumah Sakit untuk memberikan pertolongan kepada korban bencana” (P2)</w:t>
      </w:r>
    </w:p>
    <w:p w:rsidR="00B7331B" w:rsidRDefault="00B7331B" w:rsidP="00B7331B">
      <w:pPr>
        <w:pStyle w:val="JKKBodyTeks"/>
        <w:rPr>
          <w:i/>
          <w:lang w:val="en-US"/>
        </w:rPr>
      </w:pPr>
    </w:p>
    <w:p w:rsidR="00B7331B" w:rsidRDefault="00B7331B" w:rsidP="00B7331B">
      <w:pPr>
        <w:pStyle w:val="JKKBodyTeks"/>
        <w:rPr>
          <w:i/>
          <w:lang w:val="en-US"/>
        </w:rPr>
      </w:pPr>
      <w:r>
        <w:rPr>
          <w:i/>
          <w:lang w:val="en-US"/>
        </w:rPr>
        <w:t>“….lebih dari 2 kali ikut dalam sosialisasi dan penyuluhan kepada warga tentang pentingnya menjaga alam dan kesehatan sebelum terjadi bencana” (P3)</w:t>
      </w:r>
    </w:p>
    <w:p w:rsidR="00B7331B" w:rsidRDefault="00B7331B" w:rsidP="00B7331B">
      <w:pPr>
        <w:pStyle w:val="JKKBodyTeks"/>
        <w:rPr>
          <w:i/>
          <w:lang w:val="en-US"/>
        </w:rPr>
      </w:pPr>
    </w:p>
    <w:p w:rsidR="00B7331B" w:rsidRDefault="00B7331B" w:rsidP="00B7331B">
      <w:pPr>
        <w:pStyle w:val="JKKBodyTeks"/>
        <w:rPr>
          <w:i/>
          <w:lang w:val="en-US"/>
        </w:rPr>
      </w:pPr>
      <w:r>
        <w:rPr>
          <w:i/>
          <w:lang w:val="en-US"/>
        </w:rPr>
        <w:t>“….saya paling semangat kalau diminta untuk terjun langsung ke lokasi bencana membantu korban bencana” (P4)</w:t>
      </w:r>
    </w:p>
    <w:p w:rsidR="00B7331B" w:rsidRDefault="00B7331B" w:rsidP="00B7331B">
      <w:pPr>
        <w:pStyle w:val="JKKBodyTeks"/>
        <w:rPr>
          <w:lang w:val="en-US"/>
        </w:rPr>
      </w:pPr>
    </w:p>
    <w:p w:rsidR="00B7331B" w:rsidRDefault="00B7331B" w:rsidP="00B7331B">
      <w:pPr>
        <w:pStyle w:val="JKKBodyTeks"/>
        <w:rPr>
          <w:lang w:val="en-US"/>
        </w:rPr>
      </w:pPr>
      <w:r>
        <w:rPr>
          <w:lang w:val="en-US"/>
        </w:rPr>
        <w:t xml:space="preserve">Tantangan terkait dengan alokasi sumber daya untuk mengurangi dampak akibat bencana menginspirasi dalam pembentukan sebuah komunitas tertentuk untuk melakukan kegiatan mitigasi bencana. Keterlibatan berbagai pihak menjadi bagian penting dalam mitigasi bencana dan pengurangan risiko bencana. Hal ini yang menjadi inisiasi beberapa tenaga medis untuk berperan serta dan memberikan kontribusi secara langsung kepada masyarakat diluar layanan kesehatan. Hasil identifitakasi dari total anggota komunitas mangrove yang berjumlah 15 orang, 7 orang terdiri dari tenaga medis yaitu perawat. </w:t>
      </w:r>
    </w:p>
    <w:p w:rsidR="00B7331B" w:rsidRDefault="00B7331B" w:rsidP="00B7331B">
      <w:pPr>
        <w:pStyle w:val="JKKBodyTeks"/>
        <w:rPr>
          <w:rFonts w:cs="Times New Roman"/>
        </w:rPr>
      </w:pPr>
    </w:p>
    <w:p w:rsidR="00B7331B" w:rsidRDefault="00B7331B" w:rsidP="00B7331B">
      <w:pPr>
        <w:pStyle w:val="JKKBodyTeks"/>
      </w:pPr>
      <w:r>
        <w:rPr>
          <w:noProof/>
          <w:lang w:val="en-US"/>
        </w:rPr>
        <w:drawing>
          <wp:anchor distT="0" distB="0" distL="114300" distR="114300" simplePos="0" relativeHeight="251659264" behindDoc="0" locked="0" layoutInCell="1" allowOverlap="1">
            <wp:simplePos x="0" y="0"/>
            <wp:positionH relativeFrom="margin">
              <wp:posOffset>37465</wp:posOffset>
            </wp:positionH>
            <wp:positionV relativeFrom="paragraph">
              <wp:posOffset>131445</wp:posOffset>
            </wp:positionV>
            <wp:extent cx="4677410" cy="2365375"/>
            <wp:effectExtent l="0" t="38100" r="0" b="0"/>
            <wp:wrapNone/>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margin">
              <wp14:pctWidth>0</wp14:pctWidth>
            </wp14:sizeRelH>
            <wp14:sizeRelV relativeFrom="margin">
              <wp14:pctHeight>0</wp14:pctHeight>
            </wp14:sizeRelV>
          </wp:anchor>
        </w:drawing>
      </w: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pPr>
    </w:p>
    <w:p w:rsidR="00B7331B" w:rsidRDefault="00B7331B" w:rsidP="00B7331B">
      <w:pPr>
        <w:pStyle w:val="JKKBodyTeks"/>
        <w:jc w:val="center"/>
        <w:rPr>
          <w:sz w:val="20"/>
          <w:lang w:val="en-US"/>
        </w:rPr>
      </w:pPr>
      <w:r>
        <w:rPr>
          <w:sz w:val="20"/>
          <w:lang w:val="en-US"/>
        </w:rPr>
        <w:t>Gambar 1. Peran Perawat dalam Keperawatan Bencana</w:t>
      </w:r>
    </w:p>
    <w:p w:rsidR="00B7331B" w:rsidRDefault="00B7331B" w:rsidP="00B7331B">
      <w:pPr>
        <w:pStyle w:val="JKKBodyTeks"/>
      </w:pPr>
    </w:p>
    <w:p w:rsidR="00B7331B" w:rsidRDefault="00B7331B" w:rsidP="00B7331B">
      <w:pPr>
        <w:pStyle w:val="JKKBodyTeks"/>
        <w:rPr>
          <w:sz w:val="20"/>
          <w:lang w:val="en-US"/>
        </w:rPr>
      </w:pPr>
      <w:r>
        <w:rPr>
          <w:noProof/>
          <w:lang w:val="en-US"/>
        </w:rPr>
        <w:lastRenderedPageBreak/>
        <w:drawing>
          <wp:anchor distT="0" distB="0" distL="114300" distR="114300" simplePos="0" relativeHeight="251660288" behindDoc="0" locked="0" layoutInCell="1" allowOverlap="1">
            <wp:simplePos x="0" y="0"/>
            <wp:positionH relativeFrom="column">
              <wp:posOffset>811530</wp:posOffset>
            </wp:positionH>
            <wp:positionV relativeFrom="paragraph">
              <wp:posOffset>102870</wp:posOffset>
            </wp:positionV>
            <wp:extent cx="4194175" cy="1225550"/>
            <wp:effectExtent l="38100" t="0" r="15875" b="0"/>
            <wp:wrapNone/>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B7331B" w:rsidRDefault="00B7331B" w:rsidP="00B7331B">
      <w:pPr>
        <w:pStyle w:val="JKKBodyTeks"/>
        <w:rPr>
          <w:sz w:val="20"/>
          <w:lang w:val="en-US"/>
        </w:rPr>
      </w:pPr>
    </w:p>
    <w:p w:rsidR="00B7331B" w:rsidRDefault="00B7331B" w:rsidP="00B7331B">
      <w:pPr>
        <w:pStyle w:val="JKKBodyTeks"/>
        <w:rPr>
          <w:sz w:val="20"/>
          <w:lang w:val="en-US"/>
        </w:rPr>
      </w:pPr>
    </w:p>
    <w:p w:rsidR="00B7331B" w:rsidRDefault="00B7331B" w:rsidP="00B7331B">
      <w:pPr>
        <w:pStyle w:val="JKKBodyTeks"/>
        <w:rPr>
          <w:sz w:val="20"/>
          <w:lang w:val="en-US"/>
        </w:rPr>
      </w:pPr>
    </w:p>
    <w:p w:rsidR="00B7331B" w:rsidRDefault="00B7331B" w:rsidP="00B7331B">
      <w:pPr>
        <w:pStyle w:val="JKKBodyTeks"/>
        <w:rPr>
          <w:sz w:val="20"/>
          <w:lang w:val="en-US"/>
        </w:rPr>
      </w:pPr>
    </w:p>
    <w:p w:rsidR="00B7331B" w:rsidRDefault="00B7331B" w:rsidP="00B7331B">
      <w:pPr>
        <w:pStyle w:val="JKKBodyTeks"/>
        <w:rPr>
          <w:sz w:val="20"/>
          <w:lang w:val="en-US"/>
        </w:rPr>
      </w:pPr>
    </w:p>
    <w:p w:rsidR="00B7331B" w:rsidRDefault="00B7331B" w:rsidP="00B7331B">
      <w:pPr>
        <w:pStyle w:val="JKKBodyTeks"/>
        <w:rPr>
          <w:sz w:val="20"/>
          <w:lang w:val="en-US"/>
        </w:rPr>
      </w:pPr>
    </w:p>
    <w:p w:rsidR="00B7331B" w:rsidRDefault="00B7331B" w:rsidP="00B7331B">
      <w:pPr>
        <w:pStyle w:val="JKKBodyTeks"/>
        <w:rPr>
          <w:sz w:val="20"/>
          <w:lang w:val="en-US"/>
        </w:rPr>
      </w:pPr>
    </w:p>
    <w:p w:rsidR="00B7331B" w:rsidRDefault="00B7331B" w:rsidP="00B7331B">
      <w:pPr>
        <w:pStyle w:val="JKKBodyTeks"/>
        <w:rPr>
          <w:sz w:val="20"/>
          <w:lang w:val="en-US"/>
        </w:rPr>
      </w:pPr>
    </w:p>
    <w:p w:rsidR="00B7331B" w:rsidRDefault="00B7331B" w:rsidP="00B7331B">
      <w:pPr>
        <w:pStyle w:val="JKKBodyTeks"/>
        <w:jc w:val="center"/>
        <w:rPr>
          <w:sz w:val="20"/>
          <w:lang w:val="en-US"/>
        </w:rPr>
      </w:pPr>
      <w:r>
        <w:rPr>
          <w:sz w:val="20"/>
          <w:lang w:val="en-US"/>
        </w:rPr>
        <w:t>Gambar 2. Tindakan Pengurangan Risiko Bencana</w:t>
      </w:r>
    </w:p>
    <w:p w:rsidR="00B7331B" w:rsidRDefault="00B7331B" w:rsidP="00B7331B">
      <w:pPr>
        <w:pStyle w:val="JKKBodyTeks"/>
        <w:rPr>
          <w:rFonts w:cs="Times New Roman"/>
        </w:rPr>
      </w:pPr>
    </w:p>
    <w:p w:rsidR="00B7331B" w:rsidRDefault="00B7331B" w:rsidP="00B7331B">
      <w:pPr>
        <w:pStyle w:val="JKKBodyTeks"/>
        <w:rPr>
          <w:rFonts w:cs="Times New Roman"/>
        </w:rPr>
      </w:pPr>
    </w:p>
    <w:p w:rsidR="00B7331B" w:rsidRDefault="00B7331B" w:rsidP="00B7331B">
      <w:pPr>
        <w:pStyle w:val="JKKBodyTeks"/>
        <w:rPr>
          <w:rFonts w:cs="Times New Roman"/>
          <w:lang w:val="en-US"/>
        </w:rPr>
      </w:pPr>
      <w:r>
        <w:rPr>
          <w:rFonts w:cs="Times New Roman"/>
        </w:rPr>
        <w:t xml:space="preserve">Pengelolaan ekosistem mangrove sudah dilakukan dan melibatkan warga sekitar yang tinggal di pesisir pantai. </w:t>
      </w:r>
      <w:r>
        <w:rPr>
          <w:rFonts w:cs="Times New Roman"/>
          <w:lang w:val="en-US"/>
        </w:rPr>
        <w:t>M</w:t>
      </w:r>
      <w:r>
        <w:rPr>
          <w:rFonts w:cs="Times New Roman"/>
        </w:rPr>
        <w:t>asyarakat lokal memiliki peran yang sangat penting dalam merawat</w:t>
      </w:r>
      <w:r>
        <w:rPr>
          <w:rFonts w:cs="Times New Roman"/>
          <w:lang w:val="en-US"/>
        </w:rPr>
        <w:t xml:space="preserve"> dan mengelola ekosistem</w:t>
      </w:r>
      <w:r>
        <w:rPr>
          <w:rFonts w:cs="Times New Roman"/>
        </w:rPr>
        <w:t xml:space="preserve"> mangrove. </w:t>
      </w:r>
      <w:r>
        <w:rPr>
          <w:rFonts w:cs="Times New Roman"/>
          <w:lang w:val="en-US"/>
        </w:rPr>
        <w:t>P</w:t>
      </w:r>
      <w:r>
        <w:rPr>
          <w:rFonts w:cs="Times New Roman"/>
        </w:rPr>
        <w:t>erawatan dan pengembangan ekosistem mangrove yang dikelola mandiri oleh masyarakat maka akan dengan sendirinya membentuk sebuah komunitas yang fokus mengelola mangrove</w:t>
      </w:r>
      <w:r>
        <w:rPr>
          <w:rFonts w:cs="Times New Roman"/>
          <w:lang w:val="en-US"/>
        </w:rPr>
        <w:t xml:space="preserve">. </w:t>
      </w:r>
      <w:r>
        <w:rPr>
          <w:rFonts w:cs="Times New Roman"/>
        </w:rPr>
        <w:t xml:space="preserve">Pengelolaan ekosistem mangrove merupakan salah satu program pengurangan risiko bencana yang bersifat konservatif. </w:t>
      </w:r>
      <w:r>
        <w:rPr>
          <w:rFonts w:cs="Times New Roman"/>
          <w:lang w:val="en-US"/>
        </w:rPr>
        <w:t>P</w:t>
      </w:r>
      <w:r>
        <w:rPr>
          <w:rFonts w:cs="Times New Roman"/>
        </w:rPr>
        <w:t>rogram ini tidak akan berjalan efektif tanpa dukungan infrastruktur yang memadai. BPBD mendukung penuh program tersebut, terutama dari divisi pencegahan dan pengurangan risiko bencana</w:t>
      </w:r>
      <w:r>
        <w:rPr>
          <w:rFonts w:cs="Times New Roman"/>
          <w:lang w:val="en-US"/>
        </w:rPr>
        <w:t xml:space="preserve"> </w:t>
      </w:r>
      <w:r>
        <w:rPr>
          <w:rFonts w:cs="Times New Roman"/>
          <w:lang w:val="en-US"/>
        </w:rPr>
        <w:fldChar w:fldCharType="begin" w:fldLock="1"/>
      </w:r>
      <w:r>
        <w:rPr>
          <w:rFonts w:cs="Times New Roman"/>
          <w:lang w:val="en-US"/>
        </w:rPr>
        <w:instrText>ADDIN CSL_CITATION {"citationItems":[{"id":"ITEM-1","itemData":{"DOI":"10.1016/B978-0-12-801060-0.00024-1","ISBN":"9780128010600","abstract":"Mangroves play an important role in the coastal ecosystem in terms of the habitat and food sources they provide to various kinds of organisms. In addition, mangroves also act as a line of natural protection that helps shield the coastline against the impact of wind, waves and nearshore currents, promoting the accumulation of sediment. This chapter describes the mechanism of wave attenuation in mangroves, and how the height of waves will reduce by about 20-90% when they propagate through mangroves. This wave reduction is dependent on several factors, such as hydrodynamic or botanical factors of mangrove trees, and geological factors. Information on mangrove deterioration and reforestation efforts in Thailand are also presented, and finally some lines of future research are suggested.","author":[{"dropping-particle":"","family":"Rasmeemasmuang","given":"Thamnoon","non-dropping-particle":"","parse-names":false,"suffix":""},{"dropping-particle":"","family":"Sasaki","given":"Jun","non-dropping-particle":"","parse-names":false,"suffix":""}],"container-title":"Handbook of Coastal Disaster Mitigation for Engineers and Planners","id":"ITEM-1","issued":{"date-parts":[["2015","1","1"]]},"page":"511-535","publisher":"Butterworth-Heinemann","title":"Wave Reduction in Mangrove Forests: General Information and Case Study in Thailand","type":"article-journal"},"uris":["http://www.mendeley.com/documents/?uuid=a95222c6-9625-35fa-b63c-87016a2d785c"]},{"id":"ITEM-2","itemData":{"DOI":"10.1016/J.MARPOL.2016.01.011","ISSN":"0308-597X","abstract":"Globally, coastal aquaculture particularly shrimp farming has been under huge criticism because of its environmental impacts including devastating effects on mangrove forests. However, mangroves are ecologically and economically important forests, and the most carbon-rich forests in the tropics that provide a wide range of ecosystem services and biodiversity conservation. Carbon emissions are likely to have been the dominant cause of climate change and blue carbon emissions are being critically augmented through mangrove deforestation. Because of mangrove deforestation, different climatic variables including coastal flooding, cyclone, drought, rainfall, salinity, sea-level rise, and sea surface temperature have dramatic effects on coastal aquaculture. Mangrove forests have been instrumental in augmenting resilience to climate change. The “Reducing Emissions from Deforestation and forest Degradation (REDD)” program can help to restore mangroves which in turn increases options for adaptation to climate change. However, technical and financial assistance with institutional support are needed to implement REDD+.","author":[{"dropping-particle":"","family":"Ahmed","given":"Nesar","non-dropping-particle":"","parse-names":false,"suffix":""},{"dropping-particle":"","family":"Glaser","given":"Marion","non-dropping-particle":"","parse-names":false,"suffix":""}],"container-title":"Marine Policy","id":"ITEM-2","issued":{"date-parts":[["2016","4","1"]]},"page":"58-66","publisher":"Pergamon","title":"Coastal aquaculture, mangrove deforestation and blue carbon emissions: Is REDD+ a solution?","type":"article-journal","volume":"66"},"uris":["http://www.mendeley.com/documents/?uuid=6356b0b1-5154-3e3c-a6be-33a88ce0a92c"]}],"mendeley":{"formattedCitation":"(Ahmed &amp; Glaser, 2016; Rasmeemasmuang &amp; Sasaki, 2015)","plainTextFormattedCitation":"(Ahmed &amp; Glaser, 2016; Rasmeemasmuang &amp; Sasaki, 2015)","previouslyFormattedCitation":"(Ahmed &amp; Glaser, 2016; Rasmeemasmuang &amp; Sasaki, 2015)"},"properties":{"noteIndex":0},"schema":"https://github.com/citation-style-language/schema/raw/master/csl-citation.json"}</w:instrText>
      </w:r>
      <w:r>
        <w:rPr>
          <w:rFonts w:cs="Times New Roman"/>
          <w:lang w:val="en-US"/>
        </w:rPr>
        <w:fldChar w:fldCharType="separate"/>
      </w:r>
      <w:r>
        <w:rPr>
          <w:rFonts w:cs="Times New Roman"/>
          <w:noProof/>
          <w:lang w:val="en-US"/>
        </w:rPr>
        <w:t>(Ahmed &amp; Glaser, 2016; Rasmeemasmuang &amp; Sasaki, 2015)</w:t>
      </w:r>
      <w:r>
        <w:rPr>
          <w:rFonts w:cs="Times New Roman"/>
          <w:lang w:val="en-US"/>
        </w:rPr>
        <w:fldChar w:fldCharType="end"/>
      </w:r>
      <w:r>
        <w:rPr>
          <w:rFonts w:cs="Times New Roman"/>
          <w:lang w:val="en-US"/>
        </w:rPr>
        <w:t>.</w:t>
      </w:r>
    </w:p>
    <w:p w:rsidR="00B7331B" w:rsidRDefault="00B7331B" w:rsidP="00B7331B">
      <w:pPr>
        <w:pStyle w:val="JKKBodyTeks"/>
        <w:rPr>
          <w:rFonts w:cs="Times New Roman"/>
          <w:lang w:val="en-US"/>
        </w:rPr>
      </w:pPr>
      <w:r>
        <w:rPr>
          <w:rFonts w:cs="Times New Roman"/>
          <w:lang w:val="en-US"/>
        </w:rPr>
        <w:t xml:space="preserve">Kesadaran semakin membesar ketika kembali mengingat kejadian tsunami samudra hindia pada tahun 2004 silam. Kota aceh menjadi saksi dan wilayah terdampak parah akibat bencana tersebut. Terlepas dari kenyataan bahwa populasi beberapa negara seperti Chili dan Jepang sadar akan peristiwa semacam itu, banyak tempat lain yang hampir tidak pernah mendengar tentang fenomena seperti itu sebelum tahun 2004. Berulangnya tsunami besar dalam beberapa tahun terakhir telah menyebabkan negara semakin tinggi dalam level kesadaran akan bencana tsunami dibanyak wilayah dunia </w:t>
      </w:r>
      <w:r>
        <w:rPr>
          <w:rFonts w:cs="Times New Roman"/>
          <w:lang w:val="en-US"/>
        </w:rPr>
        <w:fldChar w:fldCharType="begin" w:fldLock="1"/>
      </w:r>
      <w:r>
        <w:rPr>
          <w:rFonts w:cs="Times New Roman"/>
          <w:lang w:val="en-US"/>
        </w:rPr>
        <w:instrText>ADDIN CSL_CITATION {"citationItems":[{"id":"ITEM-1","itemData":{"DOI":"10.1016/J.AENJ.2010.10.002","ISSN":"1574-6267","abstract":"The word ‘disaster’ for many people conjures up images of well publicized events such as 9/11 (2001), the London bombings (2005), Hurricane Katrina (2005) and more recently the Haiti earthquake (2010). For Australians, the impact of disasters closer to our shores has been felt through such incidents as the Bali bombings (2002 and 2005) and the Boxing Day Tsunami (2004). Significant events that have occurred on Australian soil include Cyclone Tracey (1974), the Granville Rail disaster (1977) and Ash Wednesday bushfires (1983). Natural disasters such as flooding, cyclones and bushfires continue to impact Australian communities. However, to date Australia has avoided a large scale disaster event that has overwhelmed the health care system. A mixed method approach underpins this study. Both quantitative and qualitative data was collected through a self report questionnaire. Quantitative data has provided statistic evidence to support the findings, while the qualitative data has allowed for a richer understanding of nurses’ perceptions. The population for this study is South Australian emergency nurses working in public hospital emergency departments in metropolitan Adelaide. Three key themes emerged from the data. Firstly, South Australian emergency nurses have had minimal previous disaster experience (either through a real event or simulated exercises). Second, although a large number of nurses have completed what they perceive to be disaster education and training, questions were raised regarding the appropriateness, relevance and availability of such education. Third, South Australian emergency nurses have a low level of disaster knowledge. The findings from this study are relevant not only for emergency nurses, but for all health professionals involved in disaster response. In particular for those who have had minimal disaster response experience and limited exposure to disaster education and training opportunities. This study suggests a disaster training program for South Australian emergency nurses would be beneficial. The need for future research into appropriate disaster education and training for health professionals is highlighted by the study.","author":[{"dropping-particle":"","family":"Hammad","given":"Karen S.","non-dropping-particle":"","parse-names":false,"suffix":""},{"dropping-particle":"","family":"Arbon","given":"Paul","non-dropping-particle":"","parse-names":false,"suffix":""},{"dropping-particle":"","family":"Gebbie","given":"Kristine M.","non-dropping-particle":"","parse-names":false,"suffix":""}],"container-title":"Australasian Emergency Nursing Journal","id":"ITEM-1","issue":"2","issued":{"date-parts":[["2011","5","1"]]},"page":"87-94","publisher":"Elsevier","title":"Emergency nurses and disaster response: An exploration of South Australian emergency nurses’ knowledge and perceptions of their roles in disaster response","type":"article-journal","volume":"14"},"uris":["http://www.mendeley.com/documents/?uuid=0028326d-a2a7-35dd-a484-2dd1ebebbdac"]},{"id":"ITEM-2","itemData":{"DOI":"10.1016/J.COASTALENG.2015.01.002","ISSN":"0378-3839","abstract":"A three dimensional numerical approach based on IHFOAM to study the interaction of tsunami waves with mangrove forest is presented. As a first approximation, the problem is modelled by means of solitary waves impinging on emergent rigid cylinders. Two different conceptual approaches are implemented into IHFOAM. Solving the URANS equations provides a direct simulation of the flow field considering the actual geometry of the array of cylinders. A modified version of the volume-average URANS equations by introducing a drag force to model the momentum damping created by the cylinders is used in the second approach. Both the direct and macroscopic simulations are validated against laboratory experiments for wave damping with very high agreement. A large set of numerical experiments to analyse flow parameters and uniform and random cylinder array distributions are analysed and use to compare pros and cons of the different approaches. Large differences are found in the forces exerted on the vegetation for uniform and random distributions. Generalizations obtained from uniform arrangements could lead to underestimation of wave-exerted forces, especially for low dense configurations. Wave forces calculated with the macroscopic approach by means of the drag coefficient yields clear underestimations.","author":[{"dropping-particle":"","family":"Maza","given":"Maria","non-dropping-particle":"","parse-names":false,"suffix":""},{"dropping-particle":"","family":"Lara","given":"Javier L.","non-dropping-particle":"","parse-names":false,"suffix":""},{"dropping-particle":"","family":"Losada","given":"Inigo J.","non-dropping-particle":"","parse-names":false,"suffix":""}],"container-title":"Coastal Engineering","id":"ITEM-2","issued":{"date-parts":[["2015","4","1"]]},"page":"33-54","publisher":"Elsevier","title":"Tsunami wave interaction with mangrove forests: A 3-D numerical approach","type":"article-journal","volume":"98"},"uris":["http://www.mendeley.com/documents/?uuid=a7dadcb3-da7e-368d-a4e7-18a12016fb9e"]},{"id":"ITEM-3","itemData":{"DOI":"10.1016/J.IJDRR.2013.07.002","ISSN":"2212-4209","abstract":"Since the 2004 Indian Ocean Tsunami, there is a growing awareness of the risks that tsunamis pose to coastal communities. Despite the fact that the population of some countries such as Chile and Japan were aware of such events, many other places had virtually not heard about such phenomenon before 2004. Nevertheless, the frequent reoccurrence of major tsunamis in recent years has led to a heightened state of tsunami awareness in many areas of the world, which can be described by an increased knowledge, disaster preparedness and willingness of local populations to evacuate when the threat of these events arises. However, the response of different elements of society to tsunami warnings nowadays still appears to be inadequate a times, pointing to lack of awareness by at least some individuals, an over-reliance in defence mechanisms or lacking in the transmission of knowledge from previous events. This paper will explore these cultural issues using as a basis observations made by the authors during field visits to areas afflicted by the last three major events (Chile, Indonesia, and Japan). The level of tsunami awareness prior to these events will be explored through an analysis on the existence of multiple layers of safety against tsunami developed by previous generations, and whether these had been preserved over time. The potential impact of these major tsunamis in the development of tsunami awareness will be analysed based on questionnaires that indicate the willingness of local coastal communities to invest in disaster preparedness.","author":[{"dropping-particle":"","family":"Esteban","given":"M.","non-dropping-particle":"","parse-names":false,"suffix":""},{"dropping-particle":"","family":"Tsimopoulou","given":"V.","non-dropping-particle":"","parse-names":false,"suffix":""},{"dropping-particle":"","family":"Mikami","given":"T.","non-dropping-particle":"","parse-names":false,"suffix":""},{"dropping-particle":"","family":"Yun","given":"N.Y.","non-dropping-particle":"","parse-names":false,"suffix":""},{"dropping-particle":"","family":"Suppasri","given":"A.","non-dropping-particle":"","parse-names":false,"suffix":""},{"dropping-particle":"","family":"Shibayama","given":"T.","non-dropping-particle":"","parse-names":false,"suffix":""}],"container-title":"International Journal of Disaster Risk Reduction","id":"ITEM-3","issued":{"date-parts":[["2013","9","1"]]},"page":"84-97","publisher":"Elsevier","title":"Recent tsunamis events and preparedness: Development of tsunami awareness in Indonesia, Chile and Japan","type":"article-journal","volume":"5"},"uris":["http://www.mendeley.com/documents/?uuid=95efe2c4-abde-3ed8-b265-0fa55eb40b46"]}],"mendeley":{"formattedCitation":"(Esteban et al., 2013; Hammad, Arbon, &amp; Gebbie, 2011; Maza, Lara, &amp; Losada, 2015)","plainTextFormattedCitation":"(Esteban et al., 2013; Hammad, Arbon, &amp; Gebbie, 2011; Maza, Lara, &amp; Losada, 2015)","previouslyFormattedCitation":"(Esteban et al., 2013; Hammad, Arbon, &amp; Gebbie, 2011; Maza, Lara, &amp; Losada, 2015)"},"properties":{"noteIndex":0},"schema":"https://github.com/citation-style-language/schema/raw/master/csl-citation.json"}</w:instrText>
      </w:r>
      <w:r>
        <w:rPr>
          <w:rFonts w:cs="Times New Roman"/>
          <w:lang w:val="en-US"/>
        </w:rPr>
        <w:fldChar w:fldCharType="separate"/>
      </w:r>
      <w:r>
        <w:rPr>
          <w:rFonts w:cs="Times New Roman"/>
          <w:noProof/>
          <w:lang w:val="en-US"/>
        </w:rPr>
        <w:t>(Esteban et al., 2013; Hammad, Arbon, &amp; Gebbie, 2011; Maza, Lara, &amp; Losada, 2015)</w:t>
      </w:r>
      <w:r>
        <w:rPr>
          <w:rFonts w:cs="Times New Roman"/>
          <w:lang w:val="en-US"/>
        </w:rPr>
        <w:fldChar w:fldCharType="end"/>
      </w:r>
      <w:r>
        <w:rPr>
          <w:rFonts w:cs="Times New Roman"/>
          <w:lang w:val="en-US"/>
        </w:rPr>
        <w:t xml:space="preserve">. Hal ini bisa dilihat dari peningkatan pengetahuan, kesiapsiagaan bencana dan kemauan penduduk setempat untuk mengungsi ketika ancaman dari peristiwa tersebut muncul. Namun respon dari beberapa masyarakat terhadap peringatan tsunami saat ini tampaknya masih belum memadai, menunjukkan kurangnya kesadaran oleh setidaknya beberapa individu, ketergantungan berlebihan pada mekanisme pertahanan atau kurangnya transmisi pengetahuan dari peristiwa sebelumnya </w:t>
      </w:r>
      <w:r>
        <w:rPr>
          <w:rFonts w:cs="Times New Roman"/>
          <w:lang w:val="en-US"/>
        </w:rPr>
        <w:fldChar w:fldCharType="begin" w:fldLock="1"/>
      </w:r>
      <w:r>
        <w:rPr>
          <w:rFonts w:cs="Times New Roman"/>
          <w:lang w:val="en-US"/>
        </w:rPr>
        <w:instrText>ADDIN CSL_CITATION {"citationItems":[{"id":"ITEM-1","itemData":{"DOI":"10.1016/J.AENJ.2010.12.001","ISSN":"1574-6267","abstract":"Nurses need to be equipped with appropriate nursing skills, knowledge and management strategies in order to respond to disaster events. The 2004 tsunami was a major disaster that tested the skills and response of nurses involved in the care of patients affected by the tsunami. The aims of this descriptive correlational study were: (1) to describe the level of perceived clinical skills for tsunami care among nurses, and (2) to examine the relationship between knowledge, clinical experience and perceived clinical skills for tsunami care among nurses in Banda Aceh, Indonesia. Purposive sampling recruited 78 nurses in a provincial hospital in Banda Aceh, Indonesia. Data were collected using a questionnaire that consisted of four main parts: Demographic Data Questionnaire (DDQ), Nurses’ Clinical Experience Questionnaire (NCEQ), Nurses’ Knowledge Tsunami Care Questionnaire (NKTCQ), and Tsunami Care Questionnaire (TCQ). Overall, perceived clinical skills for tsunami care were at a moderate level with the total mean score of 3.41 (SD=0.87). Pearson product moment correlation coefficients were used to investigate the relationship between perceived clinical skills for tsunami care and knowledge, and clinical experience. Knowledge and clinical experience had a significant low positive correlation with perceived clinical skills for tsunami care (r=0.24, p&lt;0.05); and (r=0.40, p&lt;0.01), respectively. The study revealed that nurses in the hospital should improve their knowledge and skills in order to respond to disasters.","author":[{"dropping-particle":"","family":"Husna","given":"Cut","non-dropping-particle":"","parse-names":false,"suffix":""},{"dropping-particle":"","family":"Hatthakit","given":"Urai","non-dropping-particle":"","parse-names":false,"suffix":""},{"dropping-particle":"","family":"Chaowalit","given":"Aranya","non-dropping-particle":"","parse-names":false,"suffix":""}],"container-title":"Australasian Emergency Nursing Journal","id":"ITEM-1","issue":"2","issued":{"date-parts":[["2011","5","1"]]},"page":"95-102","publisher":"Elsevier","title":"Do knowledge and clinical experience have specific roles in perceived clinical skills for tsunami care among nurses in Banda Aceh, Indonesia?","type":"article-journal","volume":"14"},"uris":["http://www.mendeley.com/documents/?uuid=e9536a51-7512-39bb-b64c-bcf4f5c6a55f"]}],"mendeley":{"formattedCitation":"(Husna et al., 2011)","plainTextFormattedCitation":"(Husna et al., 2011)","previouslyFormattedCitation":"(Husna et al., 2011)"},"properties":{"noteIndex":0},"schema":"https://github.com/citation-style-language/schema/raw/master/csl-citation.json"}</w:instrText>
      </w:r>
      <w:r>
        <w:rPr>
          <w:rFonts w:cs="Times New Roman"/>
          <w:lang w:val="en-US"/>
        </w:rPr>
        <w:fldChar w:fldCharType="separate"/>
      </w:r>
      <w:r>
        <w:rPr>
          <w:rFonts w:cs="Times New Roman"/>
          <w:noProof/>
          <w:lang w:val="en-US"/>
        </w:rPr>
        <w:t>(Husna et al., 2011)</w:t>
      </w:r>
      <w:r>
        <w:rPr>
          <w:rFonts w:cs="Times New Roman"/>
          <w:lang w:val="en-US"/>
        </w:rPr>
        <w:fldChar w:fldCharType="end"/>
      </w:r>
      <w:r>
        <w:rPr>
          <w:rFonts w:cs="Times New Roman"/>
          <w:lang w:val="en-US"/>
        </w:rPr>
        <w:t>. Kebutuhan untuk perbaikan substansial akibat tsunami seperti kemampuan perkiraan waktu nyata dan jangka panjang tsunami, pendidikan, pengembangan komunitas yang tahan tsunami atau komunitas lain dalam rangka pengurangan risiko bencana akibat tsunami, serta kemajuan penelitian dan kesiapsiagaan pra bencana semakin meningkatv</w:t>
      </w:r>
      <w:r>
        <w:rPr>
          <w:rFonts w:cs="Times New Roman"/>
          <w:lang w:val="en-US"/>
        </w:rPr>
        <w:fldChar w:fldCharType="begin" w:fldLock="1"/>
      </w:r>
      <w:r>
        <w:rPr>
          <w:rFonts w:cs="Times New Roman"/>
          <w:lang w:val="en-US"/>
        </w:rPr>
        <w:instrText>ADDIN CSL_CITATION {"citationItems":[{"id":"ITEM-1","itemData":{"DOI":"10.1016/J.PROEPS.2015.07.099","ISSN":"1878-5220","abstract":"For almost 33years, Sulawesi Island which is surrounded by several small and big tectonic plates had been struck 270 times by earthquake above 5.0 in magnitude. This number of occurrence tends to get higher and higher each year, beginning after the raising activity of Sunda Arc past last ten years, which recently struck Padang, West Sumatera in September 2009. It also risen the possibility of future earthquake-generated tsunami that can be devastated for several beach cities on Sulawesi Island. The goal of this study is to find out the most suitable mitigation plan for the beach of Seruni Bantaeng, South Sulawesi Province. The study includes the analyse of the historical data of earthquakes and tsunami at the areas and also based on the fault system on it, modelling the future tsunami near Bantaeng, modelling the mitigation schemes available, and produce a mitigation manual for future tsunami of Bantaeng District, especially the beach of Seruni.","author":[{"dropping-particle":"","family":"Baeda","given":"Achmad Yasir","non-dropping-particle":"","parse-names":false,"suffix":""},{"dropping-particle":"","family":"Rachman","given":"Taufiqur","non-dropping-particle":"","parse-names":false,"suffix":""},{"dropping-particle":"","family":"Umar","given":"Hasdinar","non-dropping-particle":"","parse-names":false,"suffix":""},{"dropping-particle":"","family":"Suriamihardja","given":"Dadang A.","non-dropping-particle":"","parse-names":false,"suffix":""}],"container-title":"Procedia Earth and Planetary Science","id":"ITEM-1","issued":{"date-parts":[["2015","1","1"]]},"page":"179-185","publisher":"Elsevier","title":"Mitigation Plan for Future Tsunami of Seruni Beach Bantaeng","type":"article-journal","volume":"14"},"uris":["http://www.mendeley.com/documents/?uuid=35ff7468-7bb4-30d8-9cb9-0a2937e7d05e"]},{"id":"ITEM-2","itemData":{"DOI":"10.1111/jnu.12186","ISSN":"15475069","abstract":"Purpose: This study examined the perceived level of disaster preparedness in Philippine nurses. Design: A descriptive, cross-sectional research design was used in this study. Methods: Two hundred nurses were invited to participate in the study, with 170 responses (105 hospital nurses and 65 community nurses) or an 85% response rate, during the months of April 2014 through July 2014. Data collection was based on interviews using a standardized instrument, the Disaster Preparedness Questionnaire. Descriptive statistics such as frequencies, means, percentages, and standard deviations were utilized to quantify the responses. Results: Three fourths of the respondents (n = 136, 80%) indicated that they were not fully prepared to respond to disasters, while only 20% (n = 34) acknowledged that they felt they were adequately prepared. Respondents believed that they could function in the primary roles of educator (n = 107, 62.94%), caregiver (n = 104, 61.17%), and counselor (n = 82, 48.24%). More than half of the respondents (n = 98, 57.7%) were not aware of existing protocols of disaster management in the workplace. Courses taken in such areas as first aid (n = 79, 46.4%), field triage (n = 43, 25.29%), and basic cardiac life support (n = 57, 33.53%) were cited as important in preparing for disasters. Conclusions: Nurses in the study revealed that they were not sufficiently prepared for disasters nor were they aware of disaster management protocols in the workplace. Clinical Relevance: Hospital administrators should consider the development and formulation of disaster management protocols and provide appropriate disaster nursing education and training. Nursing curricula should incorporate basic principles of disaster management into nursing courses as a framework for addressing this critical deficit.","author":[{"dropping-particle":"","family":"Labrague","given":"Leodoro J.","non-dropping-particle":"","parse-names":false,"suffix":""},{"dropping-particle":"","family":"Yboa","given":"Begonia C.","non-dropping-particle":"","parse-names":false,"suffix":""},{"dropping-particle":"","family":"Mcenroe-Petitte","given":"Denise M.","non-dropping-particle":"","parse-names":false,"suffix":""},{"dropping-particle":"","family":"Lobrino","given":"Ledwin R.","non-dropping-particle":"","parse-names":false,"suffix":""},{"dropping-particle":"","family":"Brennan","given":"Mary Geronima B.","non-dropping-particle":"","parse-names":false,"suffix":""}],"container-title":"Journal of Nursing Scholarship","id":"ITEM-2","issued":{"date-parts":[["2016"]]},"title":"Disaster Preparedness in Philippine Nurses","type":"article-journal"},"uris":["http://www.mendeley.com/documents/?uuid=1c9506f1-7b8a-4f0e-bda4-8c933c21d847"]}],"mendeley":{"formattedCitation":"(Baeda, Rachman, Umar, &amp; Suriamihardja, 2015; Leodoro J. Labrague et al., 2016)","plainTextFormattedCitation":"(Baeda, Rachman, Umar, &amp; Suriamihardja, 2015; Leodoro J. Labrague et al., 2016)","previouslyFormattedCitation":"(Baeda, Rachman, Umar, &amp; Suriamihardja, 2015; Leodoro J. Labrague et al., 2016)"},"properties":{"noteIndex":0},"schema":"https://github.com/citation-style-language/schema/raw/master/csl-citation.json"}</w:instrText>
      </w:r>
      <w:r>
        <w:rPr>
          <w:rFonts w:cs="Times New Roman"/>
          <w:lang w:val="en-US"/>
        </w:rPr>
        <w:fldChar w:fldCharType="separate"/>
      </w:r>
      <w:r>
        <w:rPr>
          <w:rFonts w:cs="Times New Roman"/>
          <w:noProof/>
          <w:lang w:val="en-US"/>
        </w:rPr>
        <w:t>(Baeda, Rachman, Umar, &amp; Suriamihardja, 2015; Leodoro J. Labrague et al., 2016)</w:t>
      </w:r>
      <w:r>
        <w:rPr>
          <w:rFonts w:cs="Times New Roman"/>
          <w:lang w:val="en-US"/>
        </w:rPr>
        <w:fldChar w:fldCharType="end"/>
      </w:r>
      <w:r>
        <w:rPr>
          <w:rFonts w:cs="Times New Roman"/>
          <w:lang w:val="en-US"/>
        </w:rPr>
        <w:t xml:space="preserve">. </w:t>
      </w:r>
    </w:p>
    <w:p w:rsidR="00B7331B" w:rsidRDefault="00B7331B" w:rsidP="00B7331B">
      <w:pPr>
        <w:pStyle w:val="JKKBodyTeks"/>
        <w:rPr>
          <w:rFonts w:cs="Times New Roman"/>
          <w:lang w:val="en-US"/>
        </w:rPr>
      </w:pPr>
      <w:r>
        <w:rPr>
          <w:rFonts w:cs="Times New Roman"/>
        </w:rPr>
        <w:t>Berdasarkan identifikasi kebijakan pengurangan risiko bencana dan strategi adaptasi masyarakat dalam menghadapi bencana, dapat diketahui regulasi pemerintah harus menekankan kepada pemanfaatan sumber daya yang ada dilingkungan sekitar sebagai kapasitas dalam upaya pengurangan risiko bencana, bisa dengan pemberdayaan kelompok masyarakat yang sudah dibentuk oleh BPBD yaitu Desa Tangguh Bencana (Destana)</w:t>
      </w:r>
      <w:r>
        <w:rPr>
          <w:rFonts w:cs="Times New Roman"/>
          <w:lang w:val="en-US"/>
        </w:rPr>
        <w:t xml:space="preserve"> </w:t>
      </w:r>
      <w:r>
        <w:rPr>
          <w:rFonts w:cs="Times New Roman"/>
          <w:lang w:val="en-US"/>
        </w:rPr>
        <w:fldChar w:fldCharType="begin" w:fldLock="1"/>
      </w:r>
      <w:r>
        <w:rPr>
          <w:rFonts w:cs="Times New Roman"/>
          <w:lang w:val="en-US"/>
        </w:rPr>
        <w:instrText>ADDIN CSL_CITATION {"citationItems":[{"id":"ITEM-1","itemData":{"DOI":"10.1016/J.AUEC.2018.04.001","ISSN":"2588-994X","abstract":"BACKGROUND\nAs frontline hospital staff, emergency nurses must be prepared to respond in disaster situations. While many disasters have befallen Indonesia, no available studies document disaster preparedness of nurses in this region. This study aimed to assess disaster preparedness among Indonesian emergency nurses, as well as examine factors that affected disaster preparedness in this group. \n\nMETHODS\nA cross-sectional study was conducted in four hospitals in Central Java. The Disaster Preparedness Evaluation Tool (DPET) was used to assess participant's disaster preparedness. This questionnaire was translated into Bahasa Indonesian using Brislin's (1970) back-translation technique. \n\nRESULTS\nA total of 120 participants were included in the analysis. The findings indicate that Indonesian emergency nurses have a moderate level of disaster preparedness. Previous disaster experience and disaster training or education were positively associated with disaster preparedness. Additional years’ experience nursing was not correlated with disaster preparedness. \n\nCONCLUSIONS\nThese findings can be used as a basis to develop education programmes aimed at improving preparedness for disaster among Indonesian emergency nurses.","author":[{"dropping-particle":"","family":"Rizqillah","given":"Azka Fathiyatir","non-dropping-particle":"","parse-names":false,"suffix":""},{"dropping-particle":"","family":"Suna","given":"Jessica","non-dropping-particle":"","parse-names":false,"suffix":""}],"container-title":"Australasian Emergency Care","id":"ITEM-1","issue":"2","issued":{"date-parts":[["2018","5","1"]]},"page":"64-68","publisher":"Elsevier","title":"Indonesian emergency nurses’ preparedness to respond to disaster: A descriptive survey","type":"article-journal","volume":"21"},"uris":["http://www.mendeley.com/documents/?uuid=52e0f7a8-c4b7-38f0-ad87-6ff68f9e65f6"]},{"id":"ITEM-2","itemData":{"DOI":"10.3390/ijerph110303289","ISSN":"16604601","abstract":"The purpose of this study was to explore Hong Kong nurses' perceptions of competencies required for disaster nursing. Focus group interviews and written inquiry were adopted to solicit nurses' perceived required competencies for disaster care. A total of 15 nurses were interviewed and 30 nurses completed the written inquiry on their perceived competencies related to disaster nursing. The International Council for Nurses' (ICN) framework of disaster nursing competencies, consisting of four themes and ten domains, was used to tabulate the perceived competencies for disaster nursing reported by nurses. The most mentioned required competencies were related to disaster response; with the ethical and legal competencies for disaster nursing were mostly neglected by nurses in Hong Kong. With the complexity nature of disasters, special competencies are required if nurses are to deal with adverse happenings in their serving community. Nurses' perceived disaster nursing competencies reported by nurses were grossly inadequate, demonstrating the needs to develop a comprehensive curriculum for public health. The establishment of a set of tailor-made disaster nursing core competencies for the community they served is the first step in preparing nurses to deal with disastrous situations for the health of the public. © 2014 by the authors; licensee MDPI, Basel, Switzerland.","author":[{"dropping-particle":"","family":"Loke","given":"Alice Yuen","non-dropping-particle":"","parse-names":false,"suffix":""},{"dropping-particle":"","family":"Fung","given":"Olivia Wai Man","non-dropping-particle":"","parse-names":false,"suffix":""}],"container-title":"International Journal of Environmental Research and Public Health","id":"ITEM-2","issued":{"date-parts":[["2014"]]},"title":"Nurses' competencies in disaster nursing: Implications for curriculum development and public health","type":"article-journal"},"uris":["http://www.mendeley.com/documents/?uuid=54f078a2-dbaf-4cf9-b652-823d780f9cee"]}],"mendeley":{"formattedCitation":"(Loke &amp; Fung, 2014; Rizqillah &amp; Suna, 2018)","plainTextFormattedCitation":"(Loke &amp; Fung, 2014; Rizqillah &amp; Suna, 2018)","previouslyFormattedCitation":"(Loke &amp; Fung, 2014; Rizqillah &amp; Suna, 2018)"},"properties":{"noteIndex":0},"schema":"https://github.com/citation-style-language/schema/raw/master/csl-citation.json"}</w:instrText>
      </w:r>
      <w:r>
        <w:rPr>
          <w:rFonts w:cs="Times New Roman"/>
          <w:lang w:val="en-US"/>
        </w:rPr>
        <w:fldChar w:fldCharType="separate"/>
      </w:r>
      <w:r>
        <w:rPr>
          <w:rFonts w:cs="Times New Roman"/>
          <w:noProof/>
          <w:lang w:val="en-US"/>
        </w:rPr>
        <w:t>(Loke &amp; Fung, 2014; Rizqillah &amp; Suna, 2018)</w:t>
      </w:r>
      <w:r>
        <w:rPr>
          <w:rFonts w:cs="Times New Roman"/>
          <w:lang w:val="en-US"/>
        </w:rPr>
        <w:fldChar w:fldCharType="end"/>
      </w:r>
      <w:r>
        <w:rPr>
          <w:rFonts w:cs="Times New Roman"/>
          <w:lang w:val="en-US"/>
        </w:rPr>
        <w:t xml:space="preserve">. </w:t>
      </w:r>
    </w:p>
    <w:p w:rsidR="00B7331B" w:rsidRDefault="00B7331B" w:rsidP="00B7331B">
      <w:pPr>
        <w:pStyle w:val="JKKBodyTeks"/>
        <w:rPr>
          <w:rFonts w:cs="Times New Roman"/>
          <w:lang w:val="en-US"/>
        </w:rPr>
      </w:pPr>
      <w:r>
        <w:rPr>
          <w:rFonts w:cs="Times New Roman"/>
        </w:rPr>
        <w:t>Tingkat pengetahuan dan pemahaman masyarakat mengenai ancaman bencana harus terus ditingkatkan secara berkala melalui program pelatihan, penyuluhan dan pembentukan kelompok atau komunitas bencana dan berbagai program yang fokus pada pengembangan sumber daya manusia yang lain. Aspek sumber daya manusia bisa ditingkatkan dari segi pendidikan, kesadaran menjaga lingkungan dan perekonomian</w:t>
      </w:r>
      <w:r>
        <w:rPr>
          <w:rFonts w:cs="Times New Roman"/>
          <w:lang w:val="en-US"/>
        </w:rPr>
        <w:t xml:space="preserve">. Berbagai edukasi, pendidikan </w:t>
      </w:r>
      <w:r>
        <w:rPr>
          <w:rFonts w:cs="Times New Roman"/>
          <w:lang w:val="en-US"/>
        </w:rPr>
        <w:lastRenderedPageBreak/>
        <w:t xml:space="preserve">kesehatan, simulasi dan pelatihan dilakukan untuk meningkatkan kapasitas masyarakat dalam rangka pengurangan risiko bencana </w:t>
      </w:r>
      <w:r>
        <w:rPr>
          <w:rFonts w:cs="Times New Roman"/>
          <w:lang w:val="en-US"/>
        </w:rPr>
        <w:fldChar w:fldCharType="begin" w:fldLock="1"/>
      </w:r>
      <w:r>
        <w:rPr>
          <w:rFonts w:cs="Times New Roman"/>
          <w:lang w:val="en-US"/>
        </w:rPr>
        <w:instrText>ADDIN CSL_CITATION {"citationItems":[{"id":"ITEM-1","itemData":{"DOI":"10.1111/jnu.12029","ISSN":"15276546","PMID":"23574544","abstract":"Purpose: This article is a descriptive analysis of rural nurses' perceived readiness to manage disaster situations. Design and Methods: The 58-item Disaster Readiness Questionnaire was used to survey hospital-based nurses from rural communities in Texas during the summer of 2011. The data were collected by emailing a link through the various hospital intranet sites, resulting in a sample size of 620 nurses. Results: Findings revealed that most nurses are not confident in their abilities to respond to major disaster events. The nurses who were confident were more likely to have had actual prior experience in disasters or shelters. Self-regulation of behavior (motivation) was a significant predictor of perceived nurse competence to manage disasters only in regard to the nurse's willingness to assume the risk of involvement in a disaster situation. Healthcare climate (job satisfaction) was not a determinant of disaster preparedness. Conclusions: Global increases in natural and human-induced disasters have called attention to the part that health providers play in mitigation and recovery. Since nurses are involved in planning, mitigation, response, and recovery aspects of disasters, they should actively seek opportunities to participate in actual disaster events, mock drills, and further educational opportunities specific to disaster preparedness. Administrators must support and encourage disaster preparedness education of nurses to promote hospital readiness to provide community care delivery in the event of a disaster situation. Clinical Relevance: Nursing comprises the largest healthcare workforce, and yet there is very little research examining nurses' readiness for disaster. © 2013 Sigma Theta Tau International.","author":[{"dropping-particle":"","family":"Baack","given":"Sylvia","non-dropping-particle":"","parse-names":false,"suffix":""},{"dropping-particle":"","family":"Alfred","given":"Danita","non-dropping-particle":"","parse-names":false,"suffix":""}],"container-title":"Journal of Nursing Scholarship","id":"ITEM-1","issued":{"date-parts":[["2013"]]},"title":"Nurses' preparedness and perceived competence in managing disasters","type":"article-journal"},"uris":["http://www.mendeley.com/documents/?uuid=a01f8244-027f-4fdf-8aa6-758da325232e"]},{"id":"ITEM-2","itemData":{"DOI":"10.1016/j.cnur.2016.07.006","ISSN":"00296465","abstract":"Multiple factors contribute to wildfires in California and other regions: drought, winds, climate change, and spreading urbanization. Little has been done to study the multiple roles of nurses related to wildfire disasters. Major nursing organizations support disaster education for nurses. It is essential for nurses to recognize their roles in each phase of the disaster cycle: mitigation, preparedness, response, and recovery. Skills learned in the US federal all-hazards approach to disasters can then be adapted to more specific disasters, such as wildfires, and issues affecting health care. Nursing has an important role in each phase of the disaster cycle.","author":[{"dropping-particle":"","family":"Hanes","given":"Patricia Frohock","non-dropping-particle":"","parse-names":false,"suffix":""}],"container-title":"Nursing Clinics of North America","id":"ITEM-2","issued":{"date-parts":[["2016"]]},"title":"Wildfire Disasters and Nursing","type":"article"},"uris":["http://www.mendeley.com/documents/?uuid=82e77611-06ee-4777-bb2e-3a03dc5a502b"]},{"id":"ITEM-3","itemData":{"DOI":"10.1111/jnu.12198","ISSN":"15475069","abstract":"Purpose: To develop a vision for the future of disaster nursing, identify barriers and facilitators to achieving the vision, and develop recommendations for nursing practice, education, policy, and research. Design and Methods: A series of semistructured conference calls were conducted with 14 national subject matter experts to generate relevant concepts regarding national nursing workforce preparedness. An invitational daylong workshop hosted by the Veterans Emergency Management Evaluation Center, U.S. Department of Veterans Affairs, was held in December 2014 to expand and refine these concepts. Workshop participants included 70 nurses, emergency managers, and a broad range of public health professionals. Conference call notes and audiotapes of the workshop were transcribed and thematic analysis conducted to outline a vision for the future of nursing in disaster preparedness and response, and to articulate an agenda for nursing practice, education, policy, and research to achieve that vision. Findings: The group developed a vision for the future of disaster nursing, and identified current barriers and opportunities to advance professional disaster nursing. A broad array of recommendations for nursing practice, education, policy, and research, as well as implementation challenges, are summarized in this article. Conclusions: This project represents an important step toward enhancing nurses' roles as leaders, educators, responders, policymakers, and researchers in disaster preparedness and response. Nurses and the health and human service organizations that employ them are encouraged to engage in an expansive national dialogue regarding how to best incorporate the vision and recommendations into their individual lives and the organizations for which they work. Clinical Relevance: Nurses comprise the largest healthcare workforce, and opportunities exist to strengthen disaster readiness, enhance national surge capacity, and build community resiliency to disasters.","author":[{"dropping-particle":"","family":"Veenema","given":"Tener Goodwin","non-dropping-particle":"","parse-names":false,"suffix":""},{"dropping-particle":"","family":"Griffin","given":"Anne","non-dropping-particle":"","parse-names":false,"suffix":""},{"dropping-particle":"","family":"Gable","given":"Alicia R.","non-dropping-particle":"","parse-names":false,"suffix":""},{"dropping-particle":"","family":"Macintyre","given":"Linda","non-dropping-particle":"","parse-names":false,"suffix":""},{"dropping-particle":"","family":"Simons","given":"Radm Nadine","non-dropping-particle":"","parse-names":false,"suffix":""},{"dropping-particle":"","family":"Couig","given":"Mary Pat","non-dropping-particle":"","parse-names":false,"suffix":""},{"dropping-particle":"","family":"Walsh","given":"John J.","non-dropping-particle":"","parse-names":false,"suffix":""},{"dropping-particle":"","family":"Lavin","given":"Roberta Proffitt","non-dropping-particle":"","parse-names":false,"suffix":""},{"dropping-particle":"","family":"Dobalian","given":"Aram","non-dropping-particle":"","parse-names":false,"suffix":""},{"dropping-particle":"","family":"Larson","given":"Elaine","non-dropping-particle":"","parse-names":false,"suffix":""}],"container-title":"Journal of Nursing Scholarship","id":"ITEM-3","issued":{"date-parts":[["2016"]]},"title":"Nurses as Leaders in Disaster Preparedness and Response-A Call to Action","type":"article-journal"},"uris":["http://www.mendeley.com/documents/?uuid=e690c345-5a36-4cd6-822a-478cddfb4e9f"]}],"mendeley":{"formattedCitation":"(Baack &amp; Alfred, 2013; Hanes, 2016; Veenema et al., 2016)","plainTextFormattedCitation":"(Baack &amp; Alfred, 2013; Hanes, 2016; Veenema et al., 2016)","previouslyFormattedCitation":"(Baack &amp; Alfred, 2013; Hanes, 2016; Veenema et al., 2016)"},"properties":{"noteIndex":0},"schema":"https://github.com/citation-style-language/schema/raw/master/csl-citation.json"}</w:instrText>
      </w:r>
      <w:r>
        <w:rPr>
          <w:rFonts w:cs="Times New Roman"/>
          <w:lang w:val="en-US"/>
        </w:rPr>
        <w:fldChar w:fldCharType="separate"/>
      </w:r>
      <w:r>
        <w:rPr>
          <w:rFonts w:cs="Times New Roman"/>
          <w:noProof/>
          <w:lang w:val="en-US"/>
        </w:rPr>
        <w:t>(Baack &amp; Alfred, 2013; Hanes, 2016; Veenema et al., 2016)</w:t>
      </w:r>
      <w:r>
        <w:rPr>
          <w:rFonts w:cs="Times New Roman"/>
          <w:lang w:val="en-US"/>
        </w:rPr>
        <w:fldChar w:fldCharType="end"/>
      </w:r>
      <w:r>
        <w:rPr>
          <w:rFonts w:cs="Times New Roman"/>
          <w:lang w:val="en-US"/>
        </w:rPr>
        <w:t xml:space="preserve">. </w:t>
      </w:r>
    </w:p>
    <w:p w:rsidR="00B7331B" w:rsidRDefault="00B7331B" w:rsidP="00B7331B">
      <w:pPr>
        <w:pStyle w:val="JKKBodyTeks"/>
        <w:rPr>
          <w:rFonts w:cs="Times New Roman"/>
          <w:lang w:val="en-US"/>
        </w:rPr>
      </w:pPr>
      <w:r>
        <w:rPr>
          <w:rFonts w:cs="Times New Roman"/>
          <w:lang w:val="en-US"/>
        </w:rPr>
        <w:t xml:space="preserve">Selain itu, dari sisi tenaga medis atau perawat itu sendiri juga perlu ditingkatkan terkait pengetahuannya tentang kesiapsiagaan bencana. kurangnya penerimaan kompetensi inti dan tidak adanya kesiapsiagaan bencana dalam kurikulum keperawatan menjadi alasan bahwa pengetahuan tersebut perlu selau ditingkatkan </w:t>
      </w:r>
      <w:r>
        <w:rPr>
          <w:rFonts w:cs="Times New Roman"/>
          <w:lang w:val="en-US"/>
        </w:rPr>
        <w:fldChar w:fldCharType="begin" w:fldLock="1"/>
      </w:r>
      <w:r>
        <w:rPr>
          <w:rFonts w:cs="Times New Roman"/>
          <w:lang w:val="en-US"/>
        </w:rPr>
        <w:instrText>ADDIN CSL_CITATION {"citationItems":[{"id":"ITEM-1","itemData":{"DOI":"10.3390/ijerph110303289","ISSN":"16604601","abstract":"The purpose of this study was to explore Hong Kong nurses' perceptions of competencies required for disaster nursing. Focus group interviews and written inquiry were adopted to solicit nurses' perceived required competencies for disaster care. A total of 15 nurses were interviewed and 30 nurses completed the written inquiry on their perceived competencies related to disaster nursing. The International Council for Nurses' (ICN) framework of disaster nursing competencies, consisting of four themes and ten domains, was used to tabulate the perceived competencies for disaster nursing reported by nurses. The most mentioned required competencies were related to disaster response; with the ethical and legal competencies for disaster nursing were mostly neglected by nurses in Hong Kong. With the complexity nature of disasters, special competencies are required if nurses are to deal with adverse happenings in their serving community. Nurses' perceived disaster nursing competencies reported by nurses were grossly inadequate, demonstrating the needs to develop a comprehensive curriculum for public health. The establishment of a set of tailor-made disaster nursing core competencies for the community they served is the first step in preparing nurses to deal with disastrous situations for the health of the public. © 2014 by the authors; licensee MDPI, Basel, Switzerland.","author":[{"dropping-particle":"","family":"Loke","given":"Alice Yuen","non-dropping-particle":"","parse-names":false,"suffix":""},{"dropping-particle":"","family":"Fung","given":"Olivia Wai Man","non-dropping-particle":"","parse-names":false,"suffix":""}],"container-title":"International Journal of Environmental Research and Public Health","id":"ITEM-1","issued":{"date-parts":[["2014"]]},"title":"Nurses' competencies in disaster nursing: Implications for curriculum development and public health","type":"article-journal"},"uris":["http://www.mendeley.com/documents/?uuid=54f078a2-dbaf-4cf9-b652-823d780f9cee"]},{"id":"ITEM-2","itemData":{"DOI":"10.1016/J.AENJ.2015.03.001","ISSN":"1574-6267","abstract":"BACKGROUND\nIt is generally accepted that nurses have insufficient knowledge about disaster preparedness due to a lack of acceptance of core competencies and the absence of disaster preparedness in nursing curricula.1 This study explored nurses’ knowledge and sources of knowledge, and skills as they relate to disaster management in Saudi Arabia, where more than 4660 people have died, 32,000 people have been affected, and US$4.65 billion in damage has been caused by disaster since 1980.2 \n\nMETHODS\nA quantitative, non-experimental, descriptive research design. \n\nRESULTS\nNurses in Saudi Arabia have moderate knowledge concerning disaster preparedness. However, nurses in military hospitals possess more knowledge than those who work in government hospitals. The majority of nurses gained their knowledge and skills from disaster drills. \n\nCONCLUSIONS\nNurses need more education in all areas of disaster management, most importantly in their roles during response to disasters. Nurses perceive themselves as not well-prepared but they are willing to improve their skills in disaster preparedness if educational opportunities are provided.","author":[{"dropping-particle":"","family":"Thobaity","given":"Abdulellah","non-dropping-particle":"Al","parse-names":false,"suffix":""},{"dropping-particle":"","family":"Plummer","given":"Virginia","non-dropping-particle":"","parse-names":false,"suffix":""},{"dropping-particle":"","family":"Innes","given":"Kelli","non-dropping-particle":"","parse-names":false,"suffix":""},{"dropping-particle":"","family":"Copnell","given":"Beverley","non-dropping-particle":"","parse-names":false,"suffix":""}],"container-title":"Australasian Emergency Nursing Journal","id":"ITEM-2","issue":"3","issued":{"date-parts":[["2015","8","1"]]},"page":"156-164","publisher":"Elsevier","title":"Perceptions of knowledge of disaster management among military and civilian nurses in Saudi Arabia","type":"article-journal","volume":"18"},"uris":["http://www.mendeley.com/documents/?uuid=02c37076-2ba3-3592-97d3-7d183fda14ed"]}],"mendeley":{"formattedCitation":"(Al Thobaity, Plummer, Innes, &amp; Copnell, 2015; Loke &amp; Fung, 2014)","plainTextFormattedCitation":"(Al Thobaity, Plummer, Innes, &amp; Copnell, 2015; Loke &amp; Fung, 2014)","previouslyFormattedCitation":"(Al Thobaity, Plummer, Innes, &amp; Copnell, 2015; Loke &amp; Fung, 2014)"},"properties":{"noteIndex":0},"schema":"https://github.com/citation-style-language/schema/raw/master/csl-citation.json"}</w:instrText>
      </w:r>
      <w:r>
        <w:rPr>
          <w:rFonts w:cs="Times New Roman"/>
          <w:lang w:val="en-US"/>
        </w:rPr>
        <w:fldChar w:fldCharType="separate"/>
      </w:r>
      <w:r>
        <w:rPr>
          <w:rFonts w:cs="Times New Roman"/>
          <w:noProof/>
          <w:lang w:val="en-US"/>
        </w:rPr>
        <w:t>(Al Thobaity, Plummer, Innes, &amp; Copnell, 2015; Loke &amp; Fung, 2014)</w:t>
      </w:r>
      <w:r>
        <w:rPr>
          <w:rFonts w:cs="Times New Roman"/>
          <w:lang w:val="en-US"/>
        </w:rPr>
        <w:fldChar w:fldCharType="end"/>
      </w:r>
      <w:r>
        <w:rPr>
          <w:rFonts w:cs="Times New Roman"/>
          <w:lang w:val="en-US"/>
        </w:rPr>
        <w:t xml:space="preserve">. Namun, beberapa perawat yang bekerja di Rumah Sakit militer justru lebih banyak memiliki pengetahuan terkait bencana daripada mereka yang bekerja di Rumah Sakit milik pemerintah atau swasta. Banyak pelatihan yang diwajibkan kepada para anggota militer termasuk tenaga kesehatan untuk aktif dalam kegiatan kebencanaan </w:t>
      </w:r>
      <w:r>
        <w:rPr>
          <w:rFonts w:cs="Times New Roman"/>
          <w:lang w:val="en-US"/>
        </w:rPr>
        <w:fldChar w:fldCharType="begin" w:fldLock="1"/>
      </w:r>
      <w:r>
        <w:rPr>
          <w:rFonts w:cs="Times New Roman"/>
          <w:lang w:val="en-US"/>
        </w:rPr>
        <w:instrText>ADDIN CSL_CITATION {"citationItems":[{"id":"ITEM-1","itemData":{"DOI":"10.1016/J.NEDT.2016.02.025","ISSN":"0260-6917","abstract":"BACKGROUND\nBecause patients in disaster areas require the most critical care, mobilising hospital nurses has become a pivotal strategy. Given the importance of disaster nursing training programmes, understanding how well prepared hospital nurses are to provide disaster care is vital. \n\nOBJECTIVES\nThis paper analyses the perceived readiness of hospital nurses for a disaster response and the factors influencing their report for work outside the hospital environment. \n\nDESIGN\nA cross-sectional research design was used. \n\nSETTINGS\nThis study was conducted at a military hospital in Taiwan. \n\nPARTICIPANTS\nA sample of 311 registered nurses participated in this study. \n\nMETHODS\nData were collected on readiness for disaster responses using a 40-item researcher-designed, self-administered questionnaire found to have satisfactory reliability and validity. The questionnaire has four domains: personal preparation (16 items), self-protection (11 items), emergency response (6 items), and clinical management (7 items). Data were analysed using descriptive statistics, independent t-tests and generalised linear models. \n\nRESULTS\nThe majority of hospital nurses demonstrated poor readiness for disaster responses. Scores on the four domains were most associated with nurses' disaster-related training, experience in disaster response and emergency/intensive care experience. \n\nCONCLUSIONS\nOur results indicate that disaster-related training should be included in undergraduate programmes and continuing education courses to help hospital nurses recognise and improve their own readiness for disaster responses outside the hospital environment. Future research is needed to improve hospital nurses' disaster-response readiness in Taiwan and other countries.","author":[{"dropping-particle":"","family":"Tzeng","given":"Wen-Chii","non-dropping-particle":"","parse-names":false,"suffix":""},{"dropping-particle":"","family":"Feng","given":"Hsin-Pei","non-dropping-particle":"","parse-names":false,"suffix":""},{"dropping-particle":"","family":"Cheng","given":"Wei-Tung","non-dropping-particle":"","parse-names":false,"suffix":""},{"dropping-particle":"","family":"Lin","given":"Chia-Huei","non-dropping-particle":"","parse-names":false,"suffix":""},{"dropping-particle":"","family":"Chiang","given":"Li-Chi","non-dropping-particle":"","parse-names":false,"suffix":""},{"dropping-particle":"","family":"Pai","given":"Lu","non-dropping-particle":"","parse-names":false,"suffix":""},{"dropping-particle":"","family":"Lee","given":"Chun-Lan","non-dropping-particle":"","parse-names":false,"suffix":""}],"container-title":"Nurse Education Today","id":"ITEM-1","issued":{"date-parts":[["2016","12","1"]]},"page":"37-42","publisher":"Churchill Livingstone","title":"Readiness of hospital nurses for disaster responses in Taiwan: A cross-sectional study","type":"article-journal","volume":"47"},"uris":["http://www.mendeley.com/documents/?uuid=700d3521-3d44-3316-946d-ca77b34a03f4"]},{"id":"ITEM-2","itemData":{"DOI":"10.1016/J.NEDT.2018.02.015","ISSN":"0260-6917","abstract":"BACKGROUND\nOperating theatre services can be heavily relied upon during mass casualty disaster events, which require nurses to have adequate training and education of hospital disaster management plans to respond appropriately. The evidence-base of disaster preparedness in the acute setting is limited, particularly with regard to operating theatre nurses. \n\nOBJECTIVES\nExplore operating theatre nurse's disaster knowledge of their role in a mass casualty event, and identify the preferred mode of disaster education and training to improve disaster preparedness. \n\nDESIGN\nA cross-sectional research design was employed with data collected using a survey tool. \n\nSETTINGS\nThe research was undertaken on operating theatre nurses in a tertiary hospital in Victoria, Australia. \n\nPARTICIPANTS\nThe participants in this research included 53 operating theatre nurses, 51 Registered Nurses and 2 Enrolled Nurses. \n\nMETHODS\nThe survey was based on a disaster questionnaire for emergency department nurses from South Australia, exploring knowledge and preparedness for disaster response in the acute setting, and altered to be specific and relevant to the operating theatre environment and broadened to focus on the training needs of perioperative nurses. \n\nRESULTS\nThe survey of 53 operating theatre nurses identified that few had previous disaster experience (19.9%). The majority of respondents were aware of their disaster management policy (Code Brown policy) (94.1%), of reporting lines, and appropriate triage (80.4%). However, a significant number of nurses (50.9%) stated that in the event of a disaster they would “call work to see if [they needed] additional assistance” compared with 43.4% of respondents “wait to be contacted by a manager/floor coordinator” as was policy. Finally, disaster nursing general knowledge amongst staff was poor; a mean of 1.79 (SD = 1.20) correct answers out of a possible 7. \n\nCONCLUSIONS\nThis study highlights that disaster education and training methods for disasters be specific to the role required by nurses and all staff during a disaster activation; training drills are preferred although face-to-face education is practical.","author":[{"dropping-particle":"","family":"Sonneborn","given":"Olivia","non-dropping-particle":"","parse-names":false,"suffix":""},{"dropping-particle":"","family":"Miller","given":"Charne","non-dropping-particle":"","parse-names":false,"suffix":""},{"dropping-particle":"","family":"Head","given":"Leon","non-dropping-particle":"","parse-names":false,"suffix":""},{"dropping-particle":"","family":"Cross","given":"Rachel","non-dropping-particle":"","parse-names":false,"suffix":""}],"container-title":"Nurse Education Today","id":"ITEM-2","issued":{"date-parts":[["2018","6","1"]]},"page":"23-29","publisher":"Churchill Livingstone","title":"Disaster education and preparedness in the acute care setting: A cross sectional survey of operating theatre nurse's disaster knowledge and education","type":"article-journal","volume":"65"},"uris":["http://www.mendeley.com/documents/?uuid=54203f52-860e-3ee1-8c21-2532fb22e080"]}],"mendeley":{"formattedCitation":"(Sonneborn, Miller, Head, &amp; Cross, 2018; Tzeng et al., 2016)","plainTextFormattedCitation":"(Sonneborn, Miller, Head, &amp; Cross, 2018; Tzeng et al., 2016)","previouslyFormattedCitation":"(Sonneborn, Miller, Head, &amp; Cross, 2018; Tzeng et al., 2016)"},"properties":{"noteIndex":0},"schema":"https://github.com/citation-style-language/schema/raw/master/csl-citation.json"}</w:instrText>
      </w:r>
      <w:r>
        <w:rPr>
          <w:rFonts w:cs="Times New Roman"/>
          <w:lang w:val="en-US"/>
        </w:rPr>
        <w:fldChar w:fldCharType="separate"/>
      </w:r>
      <w:r>
        <w:rPr>
          <w:rFonts w:cs="Times New Roman"/>
          <w:noProof/>
          <w:lang w:val="en-US"/>
        </w:rPr>
        <w:t>(Sonneborn, Miller, Head, &amp; Cross, 2018; Tzeng et al., 2016)</w:t>
      </w:r>
      <w:r>
        <w:rPr>
          <w:rFonts w:cs="Times New Roman"/>
          <w:lang w:val="en-US"/>
        </w:rPr>
        <w:fldChar w:fldCharType="end"/>
      </w:r>
      <w:r>
        <w:rPr>
          <w:rFonts w:cs="Times New Roman"/>
          <w:lang w:val="en-US"/>
        </w:rPr>
        <w:t xml:space="preserve">. </w:t>
      </w:r>
    </w:p>
    <w:p w:rsidR="00B7331B" w:rsidRDefault="00B7331B" w:rsidP="00B7331B">
      <w:pPr>
        <w:pStyle w:val="JKKBodyTeks"/>
        <w:rPr>
          <w:lang w:val="en-US"/>
        </w:rPr>
      </w:pPr>
      <w:r>
        <w:rPr>
          <w:lang w:val="en-US"/>
        </w:rPr>
        <w:t xml:space="preserve">Dalam dunia pendidikan, keperawatan bencana belum menemukan keseragaman kompetensi yang dimaksudkan diantara studi, meskipun semua studi menggunakan sumber dari organisasi nasional dan internasional. Beberapa sudah memasukkan metode eklektik termasuk penggunaan teknologi, sisanya sudah memasukkan simulasi dengan melibatkan simulator virtual dan aktor secara langsung. Konten dan isi program sangat bervariasi tetapi masih fokus pada prinsip-prinsip umum manajemen bencana dan sesuai untuk tingkat pendidikan </w:t>
      </w:r>
      <w:r>
        <w:rPr>
          <w:lang w:val="en-US"/>
        </w:rPr>
        <w:fldChar w:fldCharType="begin" w:fldLock="1"/>
      </w:r>
      <w:r>
        <w:rPr>
          <w:lang w:val="en-US"/>
        </w:rPr>
        <w:instrText>ADDIN CSL_CITATION {"citationItems":[{"id":"ITEM-1","itemData":{"abstract":"Bencana merupakan kejadian luar biasa yang menyebabkan kerugian besar bagi manusia dan lingkungan dimana hal itu berada diluar kemampuan manusia untuk dapat mengendalikannya. Didalam Penanganan bencana terdapat beberapa aspek yaitu aspek mitigasi bencana (pencegahan), Kegawatdaruratan saat terjadinya bencana, dan aspek rehabilitasi. Penanganan kegawatdaruratan ketika bencana targetnya adalah penyelamatan sehingga risiko tereliminir. Hodgetts &amp; Jones (2002), mengatakan bahwa faktor yang mendukung keberhasilan dalam pengelolaan bencana adalah manajemen bencana. Salah satu syarat sukses dalam management bencana adalah tenaga kesehatan. Ketiadaan atau kelemahan ketenaga kesehatan adalah kebingungan, kehancuran, kerugian, dan malapetaka. Namun justru hal inilah yang biasanya menjadi titik lemah penanganan bencana di Indonesia, termasuk kasus penanganan gempa dan tsunami di NAD khususnya pada saat-saat awal kejadian bencana, dimana untuk tenaga kesehatan perannya sangat diperlukan.","author":[{"dropping-particle":"","family":"Kuniayanti","given":"Mizam Ari","non-dropping-particle":"","parse-names":false,"suffix":""}],"container-title":"Jurnal Ilmiah Kesehatan Media Husada","id":"ITEM-1","issued":{"date-parts":[["2012"]]},"title":"Peran Tenaga Kesehatan dalam Penanganan Manajemen Bencana","type":"article-journal"},"uris":["http://www.mendeley.com/documents/?uuid=56f56b07-0e9b-4a2d-b22d-9843032ee67f"]},{"id":"ITEM-2","itemData":{"DOI":"10.1016/J.IJDRR.2017.12.008","ISSN":"2212-4209","abstract":"This research has been prepared to determine the effects of disaster nursing education on nursing students’ knowledge and preparedness for disasters which was conducted within the undergraduate programme of study of a nursing faculty, and put forward proposals in this respect. In this research, “quasi-experimental design pretest-posttest with control group” methods were used. Final year undergraduate nursing students who selected to study option module on disaster nursing and management constituted the treatment group. All of the students in the treatment group took scores with a success rate of 90% in the final examination of the module. Data analysis showed that there was significant increase in the knowledge and preparedness of the treatment group students for disasters, disaster nursing and management, which was relatively higher than those of control group students. It has shown that this module can be benefited from to equip undergraduate students to be effective in the processes of disaster preparedness, response, recovery and rehabilitation once they graduate. The result recommended that the module on disaster nursing and management should be included in all of the undergraduate programme of study of nursing faculties.","author":[{"dropping-particle":"","family":"Kalanlar","given":"Bilge","non-dropping-particle":"","parse-names":false,"suffix":""}],"container-title":"International Journal of Disaster Risk Reduction","id":"ITEM-2","issued":{"date-parts":[["2018","6","1"]]},"page":"475-480","publisher":"Elsevier","title":"Effects of disaster nursing education on nursing students’ knowledge and preparedness for disasters","type":"article-journal","volume":"28"},"uris":["http://www.mendeley.com/documents/?uuid=bb945990-2f18-3a7c-99d9-105e8d49a536"]},{"id":"ITEM-3","itemData":{"DOI":"10.1016/j.nepr.2014.08.001","ISSN":"14715953","abstract":"During the last half of the 20th century, the focus of nursing changed from home and field to high-tech clinics and hospitals. Nursing in the absence of technology due to man-made or natural disasters almost disappeared from the curriculum of many nursing schools. Numerous disaster events and threats in the early 21st century caused educators and practitioners to increase the emphasis on disaster nursing and those principles that guide the nurse's practice in response to disasters. This article chronicles tools used by nurse educators to integrate disaster nursing into the didactic and clinical experiences of baccalaureate nursing students. We represent two nursing schools about 90 miles apart that collaborated to provide students with practical application of disaster nursing concepts. Part 1: An educational journey toward disaster nursing competencies: A curriculum in action provides an overview of the curricular tools used to insure adequate coverage of disaster nursing concepts across the curriculum. Part 2: Collaborative learning in Community Health Nursing for emergency preparedness relates the steps taken to plan, implement, and evaluate two different collaborative disaster simulation events. In this manuscript we have attempted transparency so that others can learn from our successes and our failures.","author":[{"dropping-particle":"","family":"Alfred","given":"Danita","non-dropping-particle":"","parse-names":false,"suffix":""},{"dropping-particle":"","family":"Chilton","given":"Jenifer","non-dropping-particle":"","parse-names":false,"suffix":""},{"dropping-particle":"","family":"Connor","given":"Della","non-dropping-particle":"","parse-names":false,"suffix":""},{"dropping-particle":"","family":"Deal","given":"Belinda","non-dropping-particle":"","parse-names":false,"suffix":""},{"dropping-particle":"","family":"Fountain","given":"Rebecca","non-dropping-particle":"","parse-names":false,"suffix":""},{"dropping-particle":"","family":"Hensarling","given":"Janice","non-dropping-particle":"","parse-names":false,"suffix":""},{"dropping-particle":"","family":"Klotz","given":"Linda","non-dropping-particle":"","parse-names":false,"suffix":""}],"container-title":"Nurse Education in Practice","id":"ITEM-3","issued":{"date-parts":[["2015"]]},"title":"Preparing for disasters: Education and management strategies explored","type":"article-journal"},"uris":["http://www.mendeley.com/documents/?uuid=0022048b-283d-4ee0-910e-bba72f9a403b"]}],"mendeley":{"formattedCitation":"(Alfred et al., 2015; Kalanlar, 2018; Kuniayanti, 2012)","plainTextFormattedCitation":"(Alfred et al., 2015; Kalanlar, 2018; Kuniayanti, 2012)","previouslyFormattedCitation":"(Alfred et al., 2015; Kalanlar, 2018; Kuniayanti, 2012)"},"properties":{"noteIndex":0},"schema":"https://github.com/citation-style-language/schema/raw/master/csl-citation.json"}</w:instrText>
      </w:r>
      <w:r>
        <w:rPr>
          <w:lang w:val="en-US"/>
        </w:rPr>
        <w:fldChar w:fldCharType="separate"/>
      </w:r>
      <w:r>
        <w:rPr>
          <w:noProof/>
          <w:lang w:val="en-US"/>
        </w:rPr>
        <w:t>(Alfred et al., 2015; Kalanlar, 2018; Kuniayanti, 2012)</w:t>
      </w:r>
      <w:r>
        <w:rPr>
          <w:lang w:val="en-US"/>
        </w:rPr>
        <w:fldChar w:fldCharType="end"/>
      </w:r>
      <w:r>
        <w:rPr>
          <w:lang w:val="en-US"/>
        </w:rPr>
        <w:t>.</w:t>
      </w:r>
    </w:p>
    <w:p w:rsidR="00B7331B" w:rsidRDefault="00B7331B" w:rsidP="00B7331B">
      <w:pPr>
        <w:pStyle w:val="JKKBodyTeks"/>
        <w:rPr>
          <w:rFonts w:cs="Times New Roman"/>
          <w:lang w:val="en-US"/>
        </w:rPr>
      </w:pPr>
      <w:r>
        <w:rPr>
          <w:lang w:val="en-US"/>
        </w:rPr>
        <w:t xml:space="preserve">Pentingnya peningkatan kapasitas perawat dalam memberikan penanganan kepada korban bencana adalah agar menyelamatkan lebih banyak korban bencana dan membuat mereka tetap bertahan. Karena perawat atau tim medis sebagai pintu gerbang pertama dalam memberikan perawatan korban bencana </w:t>
      </w:r>
      <w:r>
        <w:rPr>
          <w:lang w:val="en-US"/>
        </w:rPr>
        <w:fldChar w:fldCharType="begin" w:fldLock="1"/>
      </w:r>
      <w:r>
        <w:rPr>
          <w:lang w:val="en-US"/>
        </w:rPr>
        <w:instrText>ADDIN CSL_CITATION {"citationItems":[{"id":"ITEM-1","itemData":{"DOI":"10.1016/J.AENJ.2010.10.002","ISSN":"1574-6267","abstract":"The word ‘disaster’ for many people conjures up images of well publicized events such as 9/11 (2001), the London bombings (2005), Hurricane Katrina (2005) and more recently the Haiti earthquake (2010). For Australians, the impact of disasters closer to our shores has been felt through such incidents as the Bali bombings (2002 and 2005) and the Boxing Day Tsunami (2004). Significant events that have occurred on Australian soil include Cyclone Tracey (1974), the Granville Rail disaster (1977) and Ash Wednesday bushfires (1983). Natural disasters such as flooding, cyclones and bushfires continue to impact Australian communities. However, to date Australia has avoided a large scale disaster event that has overwhelmed the health care system. A mixed method approach underpins this study. Both quantitative and qualitative data was collected through a self report questionnaire. Quantitative data has provided statistic evidence to support the findings, while the qualitative data has allowed for a richer understanding of nurses’ perceptions. The population for this study is South Australian emergency nurses working in public hospital emergency departments in metropolitan Adelaide. Three key themes emerged from the data. Firstly, South Australian emergency nurses have had minimal previous disaster experience (either through a real event or simulated exercises). Second, although a large number of nurses have completed what they perceive to be disaster education and training, questions were raised regarding the appropriateness, relevance and availability of such education. Third, South Australian emergency nurses have a low level of disaster knowledge. The findings from this study are relevant not only for emergency nurses, but for all health professionals involved in disaster response. In particular for those who have had minimal disaster response experience and limited exposure to disaster education and training opportunities. This study suggests a disaster training program for South Australian emergency nurses would be beneficial. The need for future research into appropriate disaster education and training for health professionals is highlighted by the study.","author":[{"dropping-particle":"","family":"Hammad","given":"Karen S.","non-dropping-particle":"","parse-names":false,"suffix":""},{"dropping-particle":"","family":"Arbon","given":"Paul","non-dropping-particle":"","parse-names":false,"suffix":""},{"dropping-particle":"","family":"Gebbie","given":"Kristine M.","non-dropping-particle":"","parse-names":false,"suffix":""}],"container-title":"Australasian Emergency Nursing Journal","id":"ITEM-1","issue":"2","issued":{"date-parts":[["2011","5","1"]]},"page":"87-94","publisher":"Elsevier","title":"Emergency nurses and disaster response: An exploration of South Australian emergency nurses’ knowledge and perceptions of their roles in disaster response","type":"article-journal","volume":"14"},"uris":["http://www.mendeley.com/documents/?uuid=0028326d-a2a7-35dd-a484-2dd1ebebbdac"]},{"id":"ITEM-2","itemData":{"DOI":"10.1016/J.AENJ.2011.02.005","ISSN":"1574-6267","abstract":"This paper reports the results of a descriptive study undertaken to explore the disaster nursing content and related clinical in Australian undergraduate nursing curricula. A descriptive, survey approach was selected. Thirty-nine schools of nursing across Australia were contacted and invited to complete the survey. The mailed survey was self-administered by the participants. A response rate of 49% (n=19) was achieved. Data were analysed using descriptive statistics to produce a description of the disaster content and clinical practice requirements. Results indicate that very few Schools include this content area in their curricula and those that do are mainly theoretical and not practise-based. There appears to be some interest from those who do not include this area into their curricula to consider it for future curricula, but still, interest is low compared to the number of nursing schools around Australia. The major conclusions indicate: (i) the inclusion of disaster nursing content and practice in Australian undergraduate nursing curricula is negligible and there is limited interest in addressing this issue in the near future; (ii) little importance is afforded disaster nursing as an undergraduate area of study; (iii) nursing students register with little or no knowledge of the area of disaster nursing, yet nurses are the major professional body to be called upon to respond when a disaster occurs; (iv) major impetus from registration boards is required if disaster nursing is to be included into future undergraduate nursing curricula. International organisations such as WHO and ICN have identified and criticised undergraduate nursing courses for their failure to adequately prepare graduates to participate in disaster relief work. Current Australian nursing graduates have limited capacity to respond efficiently and effectively when disasters occur. Further research is needed to adequately address this issue.","author":[{"dropping-particle":"","family":"Usher","given":"Kim","non-dropping-particle":"","parse-names":false,"suffix":""},{"dropping-particle":"","family":"Mayner","given":"Lidia","non-dropping-particle":"","parse-names":false,"suffix":""}],"container-title":"Australasian Emergency Nursing Journal","id":"ITEM-2","issue":"2","issued":{"date-parts":[["2011","5","1"]]},"page":"75-80","publisher":"Elsevier","title":"Disaster nursing: A descriptive survey of Australian undergraduate nursing curricula","type":"article-journal","volume":"14"},"uris":["http://www.mendeley.com/documents/?uuid=a87f63b4-0b45-3f54-bf41-7e3325b1d0eb"]}],"mendeley":{"formattedCitation":"(Hammad et al., 2011; Usher &amp; Mayner, 2011)","plainTextFormattedCitation":"(Hammad et al., 2011; Usher &amp; Mayner, 2011)","previouslyFormattedCitation":"(Hammad et al., 2011; Usher &amp; Mayner, 2011)"},"properties":{"noteIndex":0},"schema":"https://github.com/citation-style-language/schema/raw/master/csl-citation.json"}</w:instrText>
      </w:r>
      <w:r>
        <w:rPr>
          <w:lang w:val="en-US"/>
        </w:rPr>
        <w:fldChar w:fldCharType="separate"/>
      </w:r>
      <w:r>
        <w:rPr>
          <w:noProof/>
          <w:lang w:val="en-US"/>
        </w:rPr>
        <w:t>(Hammad et al., 2011; Usher &amp; Mayner, 2011)</w:t>
      </w:r>
      <w:r>
        <w:rPr>
          <w:lang w:val="en-US"/>
        </w:rPr>
        <w:fldChar w:fldCharType="end"/>
      </w:r>
      <w:r>
        <w:rPr>
          <w:lang w:val="en-US"/>
        </w:rPr>
        <w:t xml:space="preserve">. Bahkan beberapa tim medis, terutama perawat memiliki kapasitas terbatas untuk merespon secara efektif dan efisien ketika terjadi bencana. peningkatan kemampuan yang komprehensif tentang keperawatan bencana dengan pendidikan keperawatan bencana yang sistematis dan pelatihan yang professional menjadi alternatif untuk meningkatkan kapasitasn perawat dalam penanganan korban bencana </w:t>
      </w:r>
      <w:r>
        <w:rPr>
          <w:lang w:val="en-US"/>
        </w:rPr>
        <w:fldChar w:fldCharType="begin" w:fldLock="1"/>
      </w:r>
      <w:r>
        <w:rPr>
          <w:lang w:val="en-US"/>
        </w:rPr>
        <w:instrText>ADDIN CSL_CITATION {"citationItems":[{"id":"ITEM-1","itemData":{"DOI":"10.1016/J.NEDT.2016.02.025","ISSN":"0260-6917","abstract":"BACKGROUND\nBecause patients in disaster areas require the most critical care, mobilising hospital nurses has become a pivotal strategy. Given the importance of disaster nursing training programmes, understanding how well prepared hospital nurses are to provide disaster care is vital. \n\nOBJECTIVES\nThis paper analyses the perceived readiness of hospital nurses for a disaster response and the factors influencing their report for work outside the hospital environment. \n\nDESIGN\nA cross-sectional research design was used. \n\nSETTINGS\nThis study was conducted at a military hospital in Taiwan. \n\nPARTICIPANTS\nA sample of 311 registered nurses participated in this study. \n\nMETHODS\nData were collected on readiness for disaster responses using a 40-item researcher-designed, self-administered questionnaire found to have satisfactory reliability and validity. The questionnaire has four domains: personal preparation (16 items), self-protection (11 items), emergency response (6 items), and clinical management (7 items). Data were analysed using descriptive statistics, independent t-tests and generalised linear models. \n\nRESULTS\nThe majority of hospital nurses demonstrated poor readiness for disaster responses. Scores on the four domains were most associated with nurses' disaster-related training, experience in disaster response and emergency/intensive care experience. \n\nCONCLUSIONS\nOur results indicate that disaster-related training should be included in undergraduate programmes and continuing education courses to help hospital nurses recognise and improve their own readiness for disaster responses outside the hospital environment. Future research is needed to improve hospital nurses' disaster-response readiness in Taiwan and other countries.","author":[{"dropping-particle":"","family":"Tzeng","given":"Wen-Chii","non-dropping-particle":"","parse-names":false,"suffix":""},{"dropping-particle":"","family":"Feng","given":"Hsin-Pei","non-dropping-particle":"","parse-names":false,"suffix":""},{"dropping-particle":"","family":"Cheng","given":"Wei-Tung","non-dropping-particle":"","parse-names":false,"suffix":""},{"dropping-particle":"","family":"Lin","given":"Chia-Huei","non-dropping-particle":"","parse-names":false,"suffix":""},{"dropping-particle":"","family":"Chiang","given":"Li-Chi","non-dropping-particle":"","parse-names":false,"suffix":""},{"dropping-particle":"","family":"Pai","given":"Lu","non-dropping-particle":"","parse-names":false,"suffix":""},{"dropping-particle":"","family":"Lee","given":"Chun-Lan","non-dropping-particle":"","parse-names":false,"suffix":""}],"container-title":"Nurse Education Today","id":"ITEM-1","issued":{"date-parts":[["2016","12","1"]]},"page":"37-42","publisher":"Churchill Livingstone","title":"Readiness of hospital nurses for disaster responses in Taiwan: A cross-sectional study","type":"article-journal","volume":"47"},"uris":["http://www.mendeley.com/documents/?uuid=700d3521-3d44-3316-946d-ca77b34a03f4"]},{"id":"ITEM-2","itemData":{"DOI":"10.1016/B978-0-12-801060-0.00024-1","ISBN":"9780128010600","abstract":"Mangroves play an important role in the coastal ecosystem in terms of the habitat and food sources they provide to various kinds of organisms. In addition, mangroves also act as a line of natural protection that helps shield the coastline against the impact of wind, waves and nearshore currents, promoting the accumulation of sediment. This chapter describes the mechanism of wave attenuation in mangroves, and how the height of waves will reduce by about 20-90% when they propagate through mangroves. This wave reduction is dependent on several factors, such as hydrodynamic or botanical factors of mangrove trees, and geological factors. Information on mangrove deterioration and reforestation efforts in Thailand are also presented, and finally some lines of future research are suggested.","author":[{"dropping-particle":"","family":"Rasmeemasmuang","given":"Thamnoon","non-dropping-particle":"","parse-names":false,"suffix":""},{"dropping-particle":"","family":"Sasaki","given":"Jun","non-dropping-particle":"","parse-names":false,"suffix":""}],"container-title":"Handbook of Coastal Disaster Mitigation for Engineers and Planners","id":"ITEM-2","issued":{"date-parts":[["2015","1","1"]]},"page":"511-535","publisher":"Butterworth-Heinemann","title":"Wave Reduction in Mangrove Forests: General Information and Case Study in Thailand","type":"article-journal"},"uris":["http://www.mendeley.com/documents/?uuid=a95222c6-9625-35fa-b63c-87016a2d785c"]}],"mendeley":{"formattedCitation":"(Rasmeemasmuang &amp; Sasaki, 2015; Tzeng et al., 2016)","plainTextFormattedCitation":"(Rasmeemasmuang &amp; Sasaki, 2015; Tzeng et al., 2016)","previouslyFormattedCitation":"(Rasmeemasmuang &amp; Sasaki, 2015; Tzeng et al., 2016)"},"properties":{"noteIndex":0},"schema":"https://github.com/citation-style-language/schema/raw/master/csl-citation.json"}</w:instrText>
      </w:r>
      <w:r>
        <w:rPr>
          <w:lang w:val="en-US"/>
        </w:rPr>
        <w:fldChar w:fldCharType="separate"/>
      </w:r>
      <w:r>
        <w:rPr>
          <w:noProof/>
          <w:lang w:val="en-US"/>
        </w:rPr>
        <w:t>(Rasmeemasmuang &amp; Sasaki, 2015; Tzeng et al., 2016)</w:t>
      </w:r>
      <w:r>
        <w:rPr>
          <w:lang w:val="en-US"/>
        </w:rPr>
        <w:fldChar w:fldCharType="end"/>
      </w:r>
      <w:r>
        <w:rPr>
          <w:lang w:val="en-US"/>
        </w:rPr>
        <w:t xml:space="preserve">. </w:t>
      </w:r>
    </w:p>
    <w:p w:rsidR="00B7331B" w:rsidRDefault="00B7331B" w:rsidP="00B7331B">
      <w:pPr>
        <w:pStyle w:val="JKKBodyTeks"/>
        <w:rPr>
          <w:rFonts w:cs="Times New Roman"/>
          <w:lang w:val="en-US"/>
        </w:rPr>
      </w:pPr>
      <w:r>
        <w:rPr>
          <w:rFonts w:cs="Times New Roman"/>
        </w:rPr>
        <w:t>Pengelolaan mangrove merupakan bagian dari strategi adaptasi yang bersifat swadaya dengan kebutuhan sumber dana yang minimal, namun bisa optimal dalam mengurangi risiko bencana yang ada. Hal ini sedikit berbeda dengan berbagai kebijakan dan program pemerintah daerah yang bersifat fisik seperti pembangunan sabuk pantai, alat pemecah ombak, dan tanggul serta yang lainnya, yang membutuhkan anggaran tidak sedikit, dan memiliki keberlanjutan yang sangat bergantung pada perawatan bangunan tersebut</w:t>
      </w:r>
      <w:r>
        <w:rPr>
          <w:rFonts w:cs="Times New Roman"/>
          <w:lang w:val="en-US"/>
        </w:rPr>
        <w:t xml:space="preserve"> </w:t>
      </w:r>
      <w:r>
        <w:rPr>
          <w:rFonts w:cs="Times New Roman"/>
          <w:lang w:val="en-US"/>
        </w:rPr>
        <w:fldChar w:fldCharType="begin" w:fldLock="1"/>
      </w:r>
      <w:r>
        <w:rPr>
          <w:rFonts w:cs="Times New Roman"/>
          <w:lang w:val="en-US"/>
        </w:rPr>
        <w:instrText>ADDIN CSL_CITATION {"citationItems":[{"id":"ITEM-1","itemData":{"DOI":"10.1016/J.PROENV.2015.07.058","ISSN":"1878-0296","abstract":"Deforestation in the Wunbaik Reserved Mangrove Forest (WRMF) (22,919ha) has been accelerating since the 1990s. This study focuses on the causes of deforestation and the changes in the livelihoods of the local people. Forty percent of the mangrove forest in the WRMF was lost from 1990 to 2011, when a shrimp pond and a paddy field, known as a ‘kari,’ were created and logging operations were initiated. According to interviews with the members of 104 households of kari farmers, 50% of these farmers had earned their livelihood by fishing before they started to farm, but had changed over tokari farming in the WRMF because of a higher cash income. Deforestation in the WRMF is the result of low enforcement of the Forest Law, and thus strong land-use policies at the national and local levels are necessary to prevent further deforestation in this area.","author":[{"dropping-particle":"","family":"Saw","given":"Aye Aye","non-dropping-particle":"","parse-names":false,"suffix":""},{"dropping-particle":"","family":"Kanzaki","given":"Mamoru","non-dropping-particle":"","parse-names":false,"suffix":""}],"container-title":"Procedia Environmental Sciences","id":"ITEM-1","issued":{"date-parts":[["2015","1","1"]]},"page":"483-492","publisher":"Elsevier","title":"Local Livelihoods and Encroachment into a Mangrove Forest Reserve: A Case Study of the Wunbaik Reserved Mangrove Forest, Myanmar","type":"article-journal","volume":"28"},"uris":["http://www.mendeley.com/documents/?uuid=7e512b47-2ada-3a76-a4c4-f848f702a5c9"]},{"id":"ITEM-2","itemData":{"DOI":"10.1016/J.MARPOL.2016.06.025","ISSN":"0308-597X","abstract":"Saline coastal wetlands, such as mangrove and coastal salt marsh, provide many ecosystem services. In Australia, large areas have been lost since European colonization, particularly as a result of drainage, infilling and flood-mitigation works, often starting in the mid-19th century and aimed primarily towards converting land to agricultural, urban or industrial uses. These threats remain ongoing, and will be exacerbated by rapid population growth and climate change in the 21st century. Establishing the effect of wetland loss on the delivery of ecosystem services is confounded by the absence of a nationally consistent approach to mapping wetlands and defining the boundaries of different types of coastal wetland. In addition, climate change and its projected effect on mangrove and salt marsh distribution and ecosystem services is poorly, if at all, acknowledged in existing legislation and policy. Intensifying climate change means that there is little time to be complacent; indeed, there is an urgent need for proper valuation of ecosystem services and explicit recognition of ecosystem services within policy and legislation. Seven actions are identified that could improve protection of coastal wetlands and the ecosystem services they provide, including benchmarking and improving coastal wetland extent and health, reducing complexity and inconsistency in governance arrangements, and facilitating wetland adaptation and ecosystem service delivery using a range of relevant mechanisms. Actions that build upon the momentum to mitigate climate change by sequestering carbon – ‘blue carbon’ – could achieve multiple desirable objectives, including climate-change mitigation and adaptation, floodplain rehabilitation and habitat protection.","author":[{"dropping-particle":"","family":"Rogers","given":"Kerrylee","non-dropping-particle":"","parse-names":false,"suffix":""},{"dropping-particle":"","family":"Boon","given":"Paul I.","non-dropping-particle":"","parse-names":false,"suffix":""},{"dropping-particle":"","family":"Branigan","given":"Simon","non-dropping-particle":"","parse-names":false,"suffix":""},{"dropping-particle":"","family":"Duke","given":"Norman C.","non-dropping-particle":"","parse-names":false,"suffix":""},{"dropping-particle":"","family":"Field","given":"Colin D.","non-dropping-particle":"","parse-names":false,"suffix":""},{"dropping-particle":"","family":"Fitzsimons","given":"James A.","non-dropping-particle":"","parse-names":false,"suffix":""},{"dropping-particle":"","family":"Kirkman","given":"Hugh","non-dropping-particle":"","parse-names":false,"suffix":""},{"dropping-particle":"","family":"Mackenzie","given":"Jock R.","non-dropping-particle":"","parse-names":false,"suffix":""},{"dropping-particle":"","family":"Saintilan","given":"Neil","non-dropping-particle":"","parse-names":false,"suffix":""}],"container-title":"Marine Policy","id":"ITEM-2","issued":{"date-parts":[["2016","10","1"]]},"page":"139-155","publisher":"Pergamon","title":"The state of legislation and policy protecting Australia's mangrove and salt marsh and their ecosystem services","type":"article-journal","volume":"72"},"uris":["http://www.mendeley.com/documents/?uuid=5f696d14-816e-3923-8569-965dd9d1bf15"]},{"id":"ITEM-3","itemData":{"DOI":"10.1016/J.OCECOAMAN.2015.02.006","ISSN":"0964-5691","abstract":"Sea-level rise caused by global climate change has significant impacts on coastal zones. Mangrove ecosystems occur in the intertidal zone along tropical and subtropical coasts and are particularly sensitive to sea-level rise. We used the coastal zone of Tieshangang Bay, southern China, as a case study to evaluate the threats from sea-level rise to the mangrove ecosystems. The evaluation based on the projection of sea-level rise rates from present trend (2.9 mm/yr) and RCP4.5 scenario (0.53 m sea-level rise by 2100) of the Intergovernmental Panel on Climate Change's Fifth Assessment Report, were performed for 2025, 2050 and 2100 using Sea Level Affecting Marshes Model. The results showed that the scenario using the present trend in the rate of sea-level rise would result in a 9.3%, 9.6% and 18.2% loss of mangrove habitats at the study area in 2025, 2050 and 2100, respectively. Under the IPCC's RCP4.5 scenario, however, the higher sea-level rise rate could result in a 11.1%, 12.2% and 25.2% loss of mangrove habitats in 2025, 2050 and 2100, respectively. The SLAMM employed was able to project the spatially explicit threats of sea-level rise on the coastal mangroves in the study area. Without proper mitigation options, the potential decrease and loss of mangrove habitats and ecosystem services in Tieshangang Bay is inevitable. Based on the results of this study, mitigation measures should be considered for securing the mangrove ecosystems, including managing sedimentation and controlling reclamation and rehabilitation.","author":[{"dropping-particle":"","family":"Li","given":"Shasha","non-dropping-particle":"","parse-names":false,"suffix":""},{"dropping-particle":"","family":"Meng","given":"Xianwei","non-dropping-particle":"","parse-names":false,"suffix":""},{"dropping-particle":"","family":"Ge","given":"Zhenming","non-dropping-particle":"","parse-names":false,"suffix":""},{"dropping-particle":"","family":"Zhang","given":"Liquan","non-dropping-particle":"","parse-names":false,"suffix":""}],"container-title":"Ocean &amp; Coastal Management","id":"ITEM-3","issued":{"date-parts":[["2015","6","1"]]},"page":"1-8","publisher":"Elsevier","title":"Evaluation of the threat from sea-level rise to the mangrove ecosystems in Tieshangang Bay, southern China","type":"article-journal","volume":"109"},"uris":["http://www.mendeley.com/documents/?uuid=87db6f5b-7176-3823-9271-9a644b47d06a"]}],"mendeley":{"formattedCitation":"(Li, Meng, Ge, &amp; Zhang, 2015; Rogers et al., 2016; Saw &amp; Kanzaki, 2015)","plainTextFormattedCitation":"(Li, Meng, Ge, &amp; Zhang, 2015; Rogers et al., 2016; Saw &amp; Kanzaki, 2015)","previouslyFormattedCitation":"(Li, Meng, Ge, &amp; Zhang, 2015; Rogers et al., 2016; Saw &amp; Kanzaki, 2015)"},"properties":{"noteIndex":0},"schema":"https://github.com/citation-style-language/schema/raw/master/csl-citation.json"}</w:instrText>
      </w:r>
      <w:r>
        <w:rPr>
          <w:rFonts w:cs="Times New Roman"/>
          <w:lang w:val="en-US"/>
        </w:rPr>
        <w:fldChar w:fldCharType="separate"/>
      </w:r>
      <w:r>
        <w:rPr>
          <w:rFonts w:cs="Times New Roman"/>
          <w:noProof/>
          <w:lang w:val="en-US"/>
        </w:rPr>
        <w:t>(Li, Meng, Ge, &amp; Zhang, 2015; Rogers et al., 2016; Saw &amp; Kanzaki, 2015)</w:t>
      </w:r>
      <w:r>
        <w:rPr>
          <w:rFonts w:cs="Times New Roman"/>
          <w:lang w:val="en-US"/>
        </w:rPr>
        <w:fldChar w:fldCharType="end"/>
      </w:r>
      <w:r>
        <w:rPr>
          <w:rFonts w:cs="Times New Roman"/>
          <w:lang w:val="en-US"/>
        </w:rPr>
        <w:t>.</w:t>
      </w:r>
    </w:p>
    <w:p w:rsidR="00B7331B" w:rsidRDefault="00B7331B" w:rsidP="00B7331B">
      <w:pPr>
        <w:pStyle w:val="JKKBodyTeks"/>
        <w:rPr>
          <w:rFonts w:cs="Times New Roman"/>
          <w:lang w:val="en-US"/>
        </w:rPr>
      </w:pPr>
      <w:r>
        <w:rPr>
          <w:rFonts w:cs="Times New Roman"/>
          <w:lang w:val="en-US"/>
        </w:rPr>
        <w:t xml:space="preserve">Vegetasi pantai bertindak sebagai penghalang alami terhadap aktifitas ekstrim dan antropogenik yang ektstrim, melindungi infrastruktur dan kehidupan manusia. Pembangunan infrastruktur keras untuk perlindungan tsunami tidak memungkinkan di negara berkembang karena sifatnya yang intensif biaya. Penanaman mangrove menjadi salah satu alternatif untuk mengatasi masalah atau mengurangi dampak akibat bencana tsunami. Selain itu, pembentukan vegetasi dan memilih spesies yang sesuai serta struktur strip vegetasi untuk perlindungan tsunami juga penting </w:t>
      </w:r>
      <w:r>
        <w:rPr>
          <w:rFonts w:cs="Times New Roman"/>
          <w:lang w:val="en-US"/>
        </w:rPr>
        <w:fldChar w:fldCharType="begin" w:fldLock="1"/>
      </w:r>
      <w:r>
        <w:rPr>
          <w:rFonts w:cs="Times New Roman"/>
          <w:lang w:val="en-US"/>
        </w:rPr>
        <w:instrText>ADDIN CSL_CITATION {"citationItems":[{"id":"ITEM-1","itemData":{"DOI":"10.1016/J.COASTALENG.2015.01.002","ISSN":"0378-3839","abstract":"A three dimensional numerical approach based on IHFOAM to study the interaction of tsunami waves with mangrove forest is presented. As a first approximation, the problem is modelled by means of solitary waves impinging on emergent rigid cylinders. Two different conceptual approaches are implemented into IHFOAM. Solving the URANS equations provides a direct simulation of the flow field considering the actual geometry of the array of cylinders. A modified version of the volume-average URANS equations by introducing a drag force to model the momentum damping created by the cylinders is used in the second approach. Both the direct and macroscopic simulations are validated against laboratory experiments for wave damping with very high agreement. A large set of numerical experiments to analyse flow parameters and uniform and random cylinder array distributions are analysed and use to compare pros and cons of the different approaches. Large differences are found in the forces exerted on the vegetation for uniform and random distributions. Generalizations obtained from uniform arrangements could lead to underestimation of wave-exerted forces, especially for low dense configurations. Wave forces calculated with the macroscopic approach by means of the drag coefficient yields clear underestimations.","author":[{"dropping-particle":"","family":"Maza","given":"Maria","non-dropping-particle":"","parse-names":false,"suffix":""},{"dropping-particle":"","family":"Lara","given":"Javier L.","non-dropping-particle":"","parse-names":false,"suffix":""},{"dropping-particle":"","family":"Losada","given":"Inigo J.","non-dropping-particle":"","parse-names":false,"suffix":""}],"container-title":"Coastal Engineering","id":"ITEM-1","issued":{"date-parts":[["2015","4","1"]]},"page":"33-54","publisher":"Elsevier","title":"Tsunami wave interaction with mangrove forests: A 3-D numerical approach","type":"article-journal","volume":"98"},"uris":["http://www.mendeley.com/documents/?uuid=a7dadcb3-da7e-368d-a4e7-18a12016fb9e"]},{"id":"ITEM-2","itemData":{"DOI":"10.1111/inr.12175","ISSN":"14667657","abstract":"Background: Globally, nurses becoming more aware of getting better prepared for disaster relief, but in China, disaster nursing knowledge, courses and research are still limited. Introduction: China has long been prone to disasters, but disaster nursing education and training is in its infancy. Aim: This study explored the skills, knowledge and attitudes required by registered nurses from across China who worked in the aftermath of three large earthquakes to try to determine future disaster nursing education requirements. Method: The Questionnaire ofNurses'DisasterNursingSkills atEarthquakeSites, assessing nursing skills, knowledge and attitudes, was distributed to 139 registered nurses in 38 hospitals in 13 provinces across China who had worked in one or more earthquake disaster zones. Descriptive statistics were used for quantitative data, and content analysis for qualitative data. Results: Eighty-nine questionnaires were returned, a response rate of 68.3%. No respondent had ever received specific disaster nursing training prior to their post-earthquake nursing. Skills most often used by respondents were haemostasis bandaging, fixation, manual handling, observation and monitoring, debridement and dressing, and mass casualty transportation. Respondents identified that the most important groups of skills required were cardiopulmonary resuscitation; haemostasis, bandaging, fixation, and manual handling; and emergency management. They emphasized the need for psychological care of victims as well as that of fellow health workers. Conclusion: No respondent had ever received disaster nursing training prior to engagement at the earthquake disaster sites. All believed that there were important gaps in their knowledge and skills, and supported disaster nursing courses in the future. Implications for nursing and health policy: China urgently needs to develop disaster nursing courses, with the support of nurse leaders, educationalists and government, to implement training using an all hazards approach in accordance with international best practice and trainees' background clinical experience and knowledge. International Nursing Review","author":[{"dropping-particle":"","family":"Yan","given":"Y. E.","non-dropping-particle":"","parse-names":false,"suffix":""},{"dropping-particle":"","family":"Turale","given":"S.","non-dropping-particle":"","parse-names":false,"suffix":""},{"dropping-particle":"","family":"Stone","given":"T.","non-dropping-particle":"","parse-names":false,"suffix":""},{"dropping-particle":"","family":"Petrini","given":"M.","non-dropping-particle":"","parse-names":false,"suffix":""}],"container-title":"International Nursing Review","id":"ITEM-2","issued":{"date-parts":[["2015"]]},"title":"Disaster nursing skills, knowledge and attitudes required in earthquake relief: Implications for nursing education","type":"article-journal"},"uris":["http://www.mendeley.com/documents/?uuid=acd852af-354b-4c94-934b-a2a31a5d104d"]}],"mendeley":{"formattedCitation":"(Maza et al., 2015; Yan, Turale, Stone, &amp; Petrini, 2015)","plainTextFormattedCitation":"(Maza et al., 2015; Yan, Turale, Stone, &amp; Petrini, 2015)","previouslyFormattedCitation":"(Maza et al., 2015; Yan, Turale, Stone, &amp; Petrini, 2015)"},"properties":{"noteIndex":0},"schema":"https://github.com/citation-style-language/schema/raw/master/csl-citation.json"}</w:instrText>
      </w:r>
      <w:r>
        <w:rPr>
          <w:rFonts w:cs="Times New Roman"/>
          <w:lang w:val="en-US"/>
        </w:rPr>
        <w:fldChar w:fldCharType="separate"/>
      </w:r>
      <w:r>
        <w:rPr>
          <w:rFonts w:cs="Times New Roman"/>
          <w:noProof/>
          <w:lang w:val="en-US"/>
        </w:rPr>
        <w:t>(Maza et al., 2015; Yan, Turale, Stone, &amp; Petrini, 2015)</w:t>
      </w:r>
      <w:r>
        <w:rPr>
          <w:rFonts w:cs="Times New Roman"/>
          <w:lang w:val="en-US"/>
        </w:rPr>
        <w:fldChar w:fldCharType="end"/>
      </w:r>
      <w:r>
        <w:rPr>
          <w:rFonts w:cs="Times New Roman"/>
          <w:lang w:val="en-US"/>
        </w:rPr>
        <w:t xml:space="preserve">. </w:t>
      </w:r>
    </w:p>
    <w:p w:rsidR="00B7331B" w:rsidRDefault="00B7331B" w:rsidP="00B7331B">
      <w:pPr>
        <w:pStyle w:val="JKKBodyTeks"/>
        <w:rPr>
          <w:lang w:val="en-US"/>
        </w:rPr>
      </w:pPr>
      <w:r>
        <w:rPr>
          <w:lang w:val="en-US"/>
        </w:rPr>
        <w:t xml:space="preserve">Tenaga medis yaitu perawat memiliki peran penting dalam mengembangkan masa depan keperawatan bencana, mengidentifikasi hambatan dan fasilitator untuk mencapai visi dan mengembangkan rekomendasi dalam praktik keperawatan, pendidikan, kebijakan dan penelitian </w:t>
      </w:r>
      <w:r>
        <w:rPr>
          <w:lang w:val="en-US"/>
        </w:rPr>
        <w:fldChar w:fldCharType="begin" w:fldLock="1"/>
      </w:r>
      <w:r>
        <w:rPr>
          <w:lang w:val="en-US"/>
        </w:rPr>
        <w:instrText>ADDIN CSL_CITATION {"citationItems":[{"id":"ITEM-1","itemData":{"DOI":"10.1111/jnu.12029","ISSN":"15276546","PMID":"23574544","abstract":"Purpose: This article is a descriptive analysis of rural nurses' perceived readiness to manage disaster situations. Design and Methods: The 58-item Disaster Readiness Questionnaire was used to survey hospital-based nurses from rural communities in Texas during the summer of 2011. The data were collected by emailing a link through the various hospital intranet sites, resulting in a sample size of 620 nurses. Results: Findings revealed that most nurses are not confident in their abilities to respond to major disaster events. The nurses who were confident were more likely to have had actual prior experience in disasters or shelters. Self-regulation of behavior (motivation) was a significant predictor of perceived nurse competence to manage disasters only in regard to the nurse's willingness to assume the risk of involvement in a disaster situation. Healthcare climate (job satisfaction) was not a determinant of disaster preparedness. Conclusions: Global increases in natural and human-induced disasters have called attention to the part that health providers play in mitigation and recovery. Since nurses are involved in planning, mitigation, response, and recovery aspects of disasters, they should actively seek opportunities to participate in actual disaster events, mock drills, and further educational opportunities specific to disaster preparedness. Administrators must support and encourage disaster preparedness education of nurses to promote hospital readiness to provide community care delivery in the event of a disaster situation. Clinical Relevance: Nursing comprises the largest healthcare workforce, and yet there is very little research examining nurses' readiness for disaster. © 2013 Sigma Theta Tau International.","author":[{"dropping-particle":"","family":"Baack","given":"Sylvia","non-dropping-particle":"","parse-names":false,"suffix":""},{"dropping-particle":"","family":"Alfred","given":"Danita","non-dropping-particle":"","parse-names":false,"suffix":""}],"container-title":"Journal of Nursing Scholarship","id":"ITEM-1","issued":{"date-parts":[["2013"]]},"title":"Nurses' preparedness and perceived competence in managing disasters","type":"article-journal"},"uris":["http://www.mendeley.com/documents/?uuid=a01f8244-027f-4fdf-8aa6-758da325232e"]},{"id":"ITEM-2","itemData":{"DOI":"10.1111/jnu.12198","ISSN":"15475069","abstract":"Purpose: To develop a vision for the future of disaster nursing, identify barriers and facilitators to achieving the vision, and develop recommendations for nursing practice, education, policy, and research. Design and Methods: A series of semistructured conference calls were conducted with 14 national subject matter experts to generate relevant concepts regarding national nursing workforce preparedness. An invitational daylong workshop hosted by the Veterans Emergency Management Evaluation Center, U.S. Department of Veterans Affairs, was held in December 2014 to expand and refine these concepts. Workshop participants included 70 nurses, emergency managers, and a broad range of public health professionals. Conference call notes and audiotapes of the workshop were transcribed and thematic analysis conducted to outline a vision for the future of nursing in disaster preparedness and response, and to articulate an agenda for nursing practice, education, policy, and research to achieve that vision. Findings: The group developed a vision for the future of disaster nursing, and identified current barriers and opportunities to advance professional disaster nursing. A broad array of recommendations for nursing practice, education, policy, and research, as well as implementation challenges, are summarized in this article. Conclusions: This project represents an important step toward enhancing nurses' roles as leaders, educators, responders, policymakers, and researchers in disaster preparedness and response. Nurses and the health and human service organizations that employ them are encouraged to engage in an expansive national dialogue regarding how to best incorporate the vision and recommendations into their individual lives and the organizations for which they work. Clinical Relevance: Nurses comprise the largest healthcare workforce, and opportunities exist to strengthen disaster readiness, enhance national surge capacity, and build community resiliency to disasters.","author":[{"dropping-particle":"","family":"Veenema","given":"Tener Goodwin","non-dropping-particle":"","parse-names":false,"suffix":""},{"dropping-particle":"","family":"Griffin","given":"Anne","non-dropping-particle":"","parse-names":false,"suffix":""},{"dropping-particle":"","family":"Gable","given":"Alicia R.","non-dropping-particle":"","parse-names":false,"suffix":""},{"dropping-particle":"","family":"Macintyre","given":"Linda","non-dropping-particle":"","parse-names":false,"suffix":""},{"dropping-particle":"","family":"Simons","given":"Radm Nadine","non-dropping-particle":"","parse-names":false,"suffix":""},{"dropping-particle":"","family":"Couig","given":"Mary Pat","non-dropping-particle":"","parse-names":false,"suffix":""},{"dropping-particle":"","family":"Walsh","given":"John J.","non-dropping-particle":"","parse-names":false,"suffix":""},{"dropping-particle":"","family":"Lavin","given":"Roberta Proffitt","non-dropping-particle":"","parse-names":false,"suffix":""},{"dropping-particle":"","family":"Dobalian","given":"Aram","non-dropping-particle":"","parse-names":false,"suffix":""},{"dropping-particle":"","family":"Larson","given":"Elaine","non-dropping-particle":"","parse-names":false,"suffix":""}],"container-title":"Journal of Nursing Scholarship","id":"ITEM-2","issued":{"date-parts":[["2016"]]},"title":"Nurses as Leaders in Disaster Preparedness and Response-A Call to Action","type":"article-journal"},"uris":["http://www.mendeley.com/documents/?uuid=e690c345-5a36-4cd6-822a-478cddfb4e9f"]},{"id":"ITEM-3","itemData":{"DOI":"10.1016/J.AENJ.2016.08.001","ISSN":"1574-6267","abstract":"BACKGROUND\nDisaster management is critical, as its insight could diminish the impact of a disaster, and participation of emergency medical personnel is crucial. This study explores emergency medical personnel’s knowledge, attitude and practice towards disaster management. \n\nMETHODOLOGY\nThis study utilised a cross-sectional study design, and the data collected from 194 emergency nursing and medical personnel (staff nurses, doctors and assistant medical officers), using a questionnaire. \n\nRESULTS\nMajority of the personnel had an adequate knowledge and practices, and portrayed a positive attitude towards disaster management. Amongst the sociodemographic factors studied, gender and education level were significantly associated with increased knowledge and practice scores. Working experience, involvement in disaster response and attended disaster training had a significant association with higher practice scores. None of the sociodemographic factors studied had an effect on attitude scores. \n\nCONCLUSION\nDespite the diversity of their backgrounds, respondents exhibited their adequate knowledge and practice, and had positive attitudes towards disaster management. It is substantial for emergency nursing and medical personnel, to inhibit the severity of the impacts of the disasters. Their knowledge, attitude and practice studies could assist in the implementation of programmes relevant to disaster management to ensure their preparedness to assist the affected communities.","author":[{"dropping-particle":"","family":"Ahayalimudin","given":"Nurul’Ain","non-dropping-particle":"","parse-names":false,"suffix":""},{"dropping-particle":"","family":"Osman","given":"Nor Naimah Saidah","non-dropping-particle":"","parse-names":false,"suffix":""}],"container-title":"Australasian Emergency Nursing Journal","id":"ITEM-3","issue":"4","issued":{"date-parts":[["2016","11","1"]]},"page":"203-209","publisher":"Elsevier","title":"Disaster management: Emergency nursing and medical personnel’s knowledge, attitude and practices of the East Coast region hospitals of Malaysia","type":"article-journal","volume":"19"},"uris":["http://www.mendeley.com/documents/?uuid=614de363-4ad6-37aa-9ee0-6c3da9152873"]}],"mendeley":{"formattedCitation":"(Ahayalimudin &amp; Osman, 2016; Baack &amp; Alfred, 2013; Veenema et al., 2016)","plainTextFormattedCitation":"(Ahayalimudin &amp; Osman, 2016; Baack &amp; Alfred, 2013; Veenema et al., 2016)","previouslyFormattedCitation":"(Ahayalimudin &amp; Osman, 2016; Baack &amp; Alfred, 2013; Veenema et al., 2016)"},"properties":{"noteIndex":0},"schema":"https://github.com/citation-style-language/schema/raw/master/csl-citation.json"}</w:instrText>
      </w:r>
      <w:r>
        <w:rPr>
          <w:lang w:val="en-US"/>
        </w:rPr>
        <w:fldChar w:fldCharType="separate"/>
      </w:r>
      <w:r>
        <w:rPr>
          <w:noProof/>
          <w:lang w:val="en-US"/>
        </w:rPr>
        <w:t>(Ahayalimudin &amp; Osman, 2016; Baack &amp; Alfred, 2013; Veenema et al., 2016)</w:t>
      </w:r>
      <w:r>
        <w:rPr>
          <w:lang w:val="en-US"/>
        </w:rPr>
        <w:fldChar w:fldCharType="end"/>
      </w:r>
      <w:r>
        <w:rPr>
          <w:lang w:val="en-US"/>
        </w:rPr>
        <w:t xml:space="preserve">. Perawat dan organisasi atau kolegium terkait seperti keperawatan gawat darurat dan bencana memiliki keterlibatan dalam dialog nasional yang luas tentang bagaimana cara terbaik memasukkan visi dan rekomendasi ke dalam kehidupan individu mereka dan organisasi </w:t>
      </w:r>
      <w:r>
        <w:rPr>
          <w:lang w:val="en-US"/>
        </w:rPr>
        <w:lastRenderedPageBreak/>
        <w:t xml:space="preserve">tempat mereka bekerja </w:t>
      </w:r>
      <w:r>
        <w:rPr>
          <w:lang w:val="en-US"/>
        </w:rPr>
        <w:fldChar w:fldCharType="begin" w:fldLock="1"/>
      </w:r>
      <w:r>
        <w:rPr>
          <w:lang w:val="en-US"/>
        </w:rPr>
        <w:instrText>ADDIN CSL_CITATION {"citationItems":[{"id":"ITEM-1","itemData":{"DOI":"10.1111/inr.12369","ISSN":"14667657","abstract":"Aim: This review explored peer-reviewed publications that measure nurses’ preparedness for disaster response. Background: The increasing frequency of disasters worldwide necessitates nurses to adequately prepare to respond to disasters to mitigate the negative consequences of the event on the affected population. Despite growing initiatives to prepare nurses for any disasters, evidence suggests they are under prepared for disaster response. Methods: This is a systematic review of scientific articles conducted from 2006 to 2016 on nurses’ preparedness for disasters. SCOPUS, MEDLINE, PubMed, CINAHL and PsychINFO were the primary databases utilized for search of literature. Keywords used in this review were as follows: ‘emergency’, ‘disaster’, ‘disaster preparedness’, ‘disaster competencies’, ‘disaster nursing’, ‘disaster role’ and ‘nurse’. Seventeen (17) articles were selected for this review. Findings: Factors that increase preparedness for disaster response include previous disaster response experience and disaster-related training. However, it is widely reported that nurses are insufficiently prepared and do not feel confident responding effectively to disasters. Conclusion: The findings of this review contribute to a growing body of knowledge regarding disaster preparedness in nurses and have implications for academia, hospital administration and nursing educators. The findings of this review provide evidence that could be used by nurse educators and nurse administrators to better prepare nurses for disaster response. Implications for nursing and health policy: The findings from this review place an emphasis on hospitals to implement policies to address lack of preparedness among their employees. Furthermore, this review highlights the benefit of further research and provision of well-grounded disaster exercises that mimic actual events to enhance the preparedness of the nursing workforce.","author":[{"dropping-particle":"","family":"Labrague","given":"L. J.","non-dropping-particle":"","parse-names":false,"suffix":""},{"dropping-particle":"","family":"Hammad","given":"K.","non-dropping-particle":"","parse-names":false,"suffix":""},{"dropping-particle":"","family":"Gloe","given":"D. S.","non-dropping-particle":"","parse-names":false,"suffix":""},{"dropping-particle":"","family":"McEnroe-Petitte","given":"D. M.","non-dropping-particle":"","parse-names":false,"suffix":""},{"dropping-particle":"","family":"Fronda","given":"D. C.","non-dropping-particle":"","parse-names":false,"suffix":""},{"dropping-particle":"","family":"Obeidat","given":"A. A.","non-dropping-particle":"","parse-names":false,"suffix":""},{"dropping-particle":"","family":"Leocadio","given":"M. C.","non-dropping-particle":"","parse-names":false,"suffix":""},{"dropping-particle":"","family":"Cayaban","given":"A. R.","non-dropping-particle":"","parse-names":false,"suffix":""},{"dropping-particle":"","family":"Mirafuentes","given":"E. C.","non-dropping-particle":"","parse-names":false,"suffix":""}],"container-title":"International Nursing Review","id":"ITEM-1","issued":{"date-parts":[["2018"]]},"title":"Disaster preparedness among nurses: a systematic review of literature","type":"article"},"uris":["http://www.mendeley.com/documents/?uuid=67cd7957-fec0-4ce1-b80b-9c52981961c2"]}],"mendeley":{"formattedCitation":"(L. J. Labrague et al., 2018)","plainTextFormattedCitation":"(L. J. Labrague et al., 2018)","previouslyFormattedCitation":"(L. J. Labrague et al., 2018)"},"properties":{"noteIndex":0},"schema":"https://github.com/citation-style-language/schema/raw/master/csl-citation.json"}</w:instrText>
      </w:r>
      <w:r>
        <w:rPr>
          <w:lang w:val="en-US"/>
        </w:rPr>
        <w:fldChar w:fldCharType="separate"/>
      </w:r>
      <w:r>
        <w:rPr>
          <w:noProof/>
          <w:lang w:val="en-US"/>
        </w:rPr>
        <w:t>(L. J. Labrague et al., 2018)</w:t>
      </w:r>
      <w:r>
        <w:rPr>
          <w:lang w:val="en-US"/>
        </w:rPr>
        <w:fldChar w:fldCharType="end"/>
      </w:r>
      <w:r>
        <w:rPr>
          <w:lang w:val="en-US"/>
        </w:rPr>
        <w:t xml:space="preserve">. Hal ini menjadi potensi tersendiri mengingat perawat adalah tenaga kesehatan terbesar dan ada peluang untuk memperkuat kesiapan bencana, meningkatkan kapasitas dan membangun ketahanan masyarakat terhadap bencana. </w:t>
      </w:r>
    </w:p>
    <w:p w:rsidR="00B7331B" w:rsidRDefault="00B7331B" w:rsidP="00B7331B">
      <w:pPr>
        <w:pStyle w:val="JKKBodyTeks"/>
        <w:rPr>
          <w:lang w:val="en-US"/>
        </w:rPr>
      </w:pPr>
    </w:p>
    <w:p w:rsidR="00B7331B" w:rsidRDefault="00B7331B" w:rsidP="00B7331B">
      <w:pPr>
        <w:pStyle w:val="JKKBodyTeks"/>
        <w:rPr>
          <w:lang w:val="en-US"/>
        </w:rPr>
      </w:pPr>
    </w:p>
    <w:p w:rsidR="00B7331B" w:rsidRDefault="00B7331B" w:rsidP="00B7331B">
      <w:pPr>
        <w:pStyle w:val="Heading1"/>
        <w:jc w:val="center"/>
        <w:rPr>
          <w:rFonts w:eastAsia="MS Mincho"/>
        </w:rPr>
      </w:pPr>
      <w:r>
        <w:t>SIMPULAN</w:t>
      </w:r>
    </w:p>
    <w:p w:rsidR="00B7331B" w:rsidRDefault="00B7331B" w:rsidP="00B7331B">
      <w:pPr>
        <w:pStyle w:val="JKKBodyTeks"/>
        <w:rPr>
          <w:lang w:val="en-US"/>
        </w:rPr>
      </w:pPr>
      <w:r>
        <w:rPr>
          <w:lang w:val="en-US"/>
        </w:rPr>
        <w:t xml:space="preserve">Peran perawat dalam keperawatan bencana untuk pengurangan risiko bencana tsunami sebagai pemimpin, pendidik, penanggap, dan membantu komunikasi dalam membuat kebijakan dengan pemerintah dalam kesiapsiagaan dan respon bencana. Bahkan sebagai penggerak untuk meningkatkan kesadaran masyarakat. Selain itu, pembentukan komunitas mangrove dalam rangka mengurangi dampak akibat bencana menjadi langkah tersendiri yang melibatkan berbagai pihak untuk menanam dan mengelolan ekosistem mangrove itu sendiri. Perlunya sinergisitas dan kolaborasi untuk memaksimalkan konsep manajemen bencana pada tahap pra bencana yaitu mitigasi. </w:t>
      </w:r>
    </w:p>
    <w:p w:rsidR="00B7331B" w:rsidRDefault="00B7331B" w:rsidP="00B7331B">
      <w:pPr>
        <w:pStyle w:val="JKKBodyTeks"/>
        <w:rPr>
          <w:lang w:val="en-US"/>
        </w:rPr>
      </w:pPr>
      <w:r>
        <w:rPr>
          <w:lang w:val="en-US"/>
        </w:rPr>
        <w:t>Ucapan terima kasih kami sampaikan kepada pemberi program hibah penelitian tentang Muhammadiyah Angkatan ke 3 yaitu Majelis Pendidikan Tinggi Penelitian dan Pengembangan Pimpinan Pusat Muhammadiyah tahun 2019. Terima kasih juga diberikan kepada Lembaga Penelitian dan Pengabdian Masyarakat STIKES Muhammadiyah Gombong yang telah memfasilitasi kegiatan penelitian, dan kepada partisipan yang sudah memberikan informasi dengan baik.</w:t>
      </w:r>
    </w:p>
    <w:p w:rsidR="00B7331B" w:rsidRDefault="00B7331B" w:rsidP="00B7331B">
      <w:pPr>
        <w:pStyle w:val="JKKBodyTeks"/>
      </w:pPr>
    </w:p>
    <w:p w:rsidR="00B7331B" w:rsidRDefault="00B7331B" w:rsidP="00B7331B">
      <w:pPr>
        <w:pStyle w:val="Heading1"/>
        <w:jc w:val="center"/>
      </w:pPr>
      <w:r>
        <w:t>DAFTAR PUSTAKA</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fldChar w:fldCharType="begin" w:fldLock="1"/>
      </w:r>
      <w:r>
        <w:instrText xml:space="preserve">ADDIN Mendeley Bibliography CSL_BIBLIOGRAPHY </w:instrText>
      </w:r>
      <w:r>
        <w:fldChar w:fldCharType="separate"/>
      </w:r>
      <w:r>
        <w:rPr>
          <w:rFonts w:ascii="Times New Roman" w:hAnsi="Times New Roman" w:cs="Times New Roman"/>
          <w:noProof/>
          <w:sz w:val="24"/>
          <w:szCs w:val="24"/>
        </w:rPr>
        <w:t xml:space="preserve">Ahayalimudin, N., &amp; Osman, N. N. S. (2016). Disaster management: Emergency nursing and medical personnel’s knowledge, attitude and practices of the East Coast region hospitals of Malaysia. </w:t>
      </w:r>
      <w:r>
        <w:rPr>
          <w:rFonts w:ascii="Times New Roman" w:hAnsi="Times New Roman" w:cs="Times New Roman"/>
          <w:i/>
          <w:iCs/>
          <w:noProof/>
          <w:sz w:val="24"/>
          <w:szCs w:val="24"/>
        </w:rPr>
        <w:t>Australasian Emergency Nursing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19</w:t>
      </w:r>
      <w:r>
        <w:rPr>
          <w:rFonts w:ascii="Times New Roman" w:hAnsi="Times New Roman" w:cs="Times New Roman"/>
          <w:noProof/>
          <w:sz w:val="24"/>
          <w:szCs w:val="24"/>
        </w:rPr>
        <w:t>(4), 203–209. https://doi.org/10.1016/J.AENJ.2016.08.001</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Ahmed, N., &amp; Glaser, M. (2016). Coastal aquaculture, mangrove deforestation and blue carbon emissions: Is REDD+ a solution? </w:t>
      </w:r>
      <w:r>
        <w:rPr>
          <w:rFonts w:ascii="Times New Roman" w:hAnsi="Times New Roman" w:cs="Times New Roman"/>
          <w:i/>
          <w:iCs/>
          <w:noProof/>
          <w:sz w:val="24"/>
          <w:szCs w:val="24"/>
        </w:rPr>
        <w:t>Marine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66</w:t>
      </w:r>
      <w:r>
        <w:rPr>
          <w:rFonts w:ascii="Times New Roman" w:hAnsi="Times New Roman" w:cs="Times New Roman"/>
          <w:noProof/>
          <w:sz w:val="24"/>
          <w:szCs w:val="24"/>
        </w:rPr>
        <w:t>, 58–66. https://doi.org/10.1016/J.MARPOL.2016.01.011</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Al Thobaity, A., Plummer, V., Innes, K., &amp; Copnell, B. (2015). Perceptions of knowledge of disaster management among military and civilian nurses in Saudi Arabia. </w:t>
      </w:r>
      <w:r>
        <w:rPr>
          <w:rFonts w:ascii="Times New Roman" w:hAnsi="Times New Roman" w:cs="Times New Roman"/>
          <w:i/>
          <w:iCs/>
          <w:noProof/>
          <w:sz w:val="24"/>
          <w:szCs w:val="24"/>
        </w:rPr>
        <w:t>Australasian Emergency Nursing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18</w:t>
      </w:r>
      <w:r>
        <w:rPr>
          <w:rFonts w:ascii="Times New Roman" w:hAnsi="Times New Roman" w:cs="Times New Roman"/>
          <w:noProof/>
          <w:sz w:val="24"/>
          <w:szCs w:val="24"/>
        </w:rPr>
        <w:t>(3), 156–164. https://doi.org/10.1016/J.AENJ.2015.03.001</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Alfred, D., Chilton, J., Connor, D., Deal, B., Fountain, R., Hensarling, J., &amp; Klotz, L. (2015). Preparing for disasters: Education and management strategies explored. </w:t>
      </w:r>
      <w:r>
        <w:rPr>
          <w:rFonts w:ascii="Times New Roman" w:hAnsi="Times New Roman" w:cs="Times New Roman"/>
          <w:i/>
          <w:iCs/>
          <w:noProof/>
          <w:sz w:val="24"/>
          <w:szCs w:val="24"/>
        </w:rPr>
        <w:t>Nurse Education in Practice</w:t>
      </w:r>
      <w:r>
        <w:rPr>
          <w:rFonts w:ascii="Times New Roman" w:hAnsi="Times New Roman" w:cs="Times New Roman"/>
          <w:noProof/>
          <w:sz w:val="24"/>
          <w:szCs w:val="24"/>
        </w:rPr>
        <w:t>. https://doi.org/10.1016/j.nepr.2014.08.001</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Baack, S., &amp; Alfred, D. (2013). Nurses’ preparedness and perceived competence in managing disasters. </w:t>
      </w:r>
      <w:r>
        <w:rPr>
          <w:rFonts w:ascii="Times New Roman" w:hAnsi="Times New Roman" w:cs="Times New Roman"/>
          <w:i/>
          <w:iCs/>
          <w:noProof/>
          <w:sz w:val="24"/>
          <w:szCs w:val="24"/>
        </w:rPr>
        <w:t>Journal of Nursing Scholarship</w:t>
      </w:r>
      <w:r>
        <w:rPr>
          <w:rFonts w:ascii="Times New Roman" w:hAnsi="Times New Roman" w:cs="Times New Roman"/>
          <w:noProof/>
          <w:sz w:val="24"/>
          <w:szCs w:val="24"/>
        </w:rPr>
        <w:t>. https://doi.org/10.1111/jnu.12029</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Baeda, A. Y., Rachman, T., Umar, H., &amp; Suriamihardja, D. A. (2015). Mitigation Plan for Future Tsunami of Seruni Beach Bantaeng. </w:t>
      </w:r>
      <w:r>
        <w:rPr>
          <w:rFonts w:ascii="Times New Roman" w:hAnsi="Times New Roman" w:cs="Times New Roman"/>
          <w:i/>
          <w:iCs/>
          <w:noProof/>
          <w:sz w:val="24"/>
          <w:szCs w:val="24"/>
        </w:rPr>
        <w:t>Procedia Earth and Planetary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 179–185. https://doi.org/10.1016/J.PROEPS.2015.07.099</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Esteban, M., Tsimopoulou, V., Mikami, T., Yun, N. Y., Suppasri, A., &amp; Shibayama, T. (2013). Recent tsunamis events and preparedness: Development of tsunami awareness in </w:t>
      </w:r>
      <w:r>
        <w:rPr>
          <w:rFonts w:ascii="Times New Roman" w:hAnsi="Times New Roman" w:cs="Times New Roman"/>
          <w:noProof/>
          <w:sz w:val="24"/>
          <w:szCs w:val="24"/>
        </w:rPr>
        <w:lastRenderedPageBreak/>
        <w:t xml:space="preserve">Indonesia, Chile and Japan. </w:t>
      </w:r>
      <w:r>
        <w:rPr>
          <w:rFonts w:ascii="Times New Roman" w:hAnsi="Times New Roman" w:cs="Times New Roman"/>
          <w:i/>
          <w:iCs/>
          <w:noProof/>
          <w:sz w:val="24"/>
          <w:szCs w:val="24"/>
        </w:rPr>
        <w:t>International Journal of Disaster Risk Reduction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 84–97. https://doi.org/10.1016/J.IJDRR.2013.07.002</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Giri, C., Long, J., Abbas, S., Murali, R. M., Qamer, F. M., Pengra, B., &amp; Thau, D. (2015). Distribution and dynamics of mangrove forests of South Asia. </w:t>
      </w:r>
      <w:r>
        <w:rPr>
          <w:rFonts w:ascii="Times New Roman" w:hAnsi="Times New Roman" w:cs="Times New Roman"/>
          <w:i/>
          <w:iCs/>
          <w:noProof/>
          <w:sz w:val="24"/>
          <w:szCs w:val="24"/>
        </w:rPr>
        <w:t>Journal of Environmental Management</w:t>
      </w:r>
      <w:r>
        <w:rPr>
          <w:rFonts w:ascii="Times New Roman" w:hAnsi="Times New Roman" w:cs="Times New Roman"/>
          <w:noProof/>
          <w:sz w:val="24"/>
          <w:szCs w:val="24"/>
        </w:rPr>
        <w:t xml:space="preserve">, </w:t>
      </w:r>
      <w:r>
        <w:rPr>
          <w:rFonts w:ascii="Times New Roman" w:hAnsi="Times New Roman" w:cs="Times New Roman"/>
          <w:i/>
          <w:iCs/>
          <w:noProof/>
          <w:sz w:val="24"/>
          <w:szCs w:val="24"/>
        </w:rPr>
        <w:t>148</w:t>
      </w:r>
      <w:r>
        <w:rPr>
          <w:rFonts w:ascii="Times New Roman" w:hAnsi="Times New Roman" w:cs="Times New Roman"/>
          <w:noProof/>
          <w:sz w:val="24"/>
          <w:szCs w:val="24"/>
        </w:rPr>
        <w:t>, 101–111. https://doi.org/10.1016/J.JENVMAN.2014.01.020</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Hammad, K. S., Arbon, P., &amp; Gebbie, K. M. (2011). Emergency nurses and disaster response: An exploration of South Australian emergency nurses’ knowledge and perceptions of their roles in disaster response. </w:t>
      </w:r>
      <w:r>
        <w:rPr>
          <w:rFonts w:ascii="Times New Roman" w:hAnsi="Times New Roman" w:cs="Times New Roman"/>
          <w:i/>
          <w:iCs/>
          <w:noProof/>
          <w:sz w:val="24"/>
          <w:szCs w:val="24"/>
        </w:rPr>
        <w:t>Australasian Emergency Nursing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(2), 87–94. https://doi.org/10.1016/J.AENJ.2010.10.002</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Hanes, P. F. (2016). Wildfire Disasters and Nursing. </w:t>
      </w:r>
      <w:r>
        <w:rPr>
          <w:rFonts w:ascii="Times New Roman" w:hAnsi="Times New Roman" w:cs="Times New Roman"/>
          <w:i/>
          <w:iCs/>
          <w:noProof/>
          <w:sz w:val="24"/>
          <w:szCs w:val="24"/>
        </w:rPr>
        <w:t>Nursing Clinics of North America</w:t>
      </w:r>
      <w:r>
        <w:rPr>
          <w:rFonts w:ascii="Times New Roman" w:hAnsi="Times New Roman" w:cs="Times New Roman"/>
          <w:noProof/>
          <w:sz w:val="24"/>
          <w:szCs w:val="24"/>
        </w:rPr>
        <w:t>. https://doi.org/10.1016/j.cnur.2016.07.006</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Husna, C., Hatthakit, U., &amp; Chaowalit, A. (2011). Do knowledge and clinical experience have specific roles in perceived clinical skills for tsunami care among nurses in Banda Aceh, Indonesia? </w:t>
      </w:r>
      <w:r>
        <w:rPr>
          <w:rFonts w:ascii="Times New Roman" w:hAnsi="Times New Roman" w:cs="Times New Roman"/>
          <w:i/>
          <w:iCs/>
          <w:noProof/>
          <w:sz w:val="24"/>
          <w:szCs w:val="24"/>
        </w:rPr>
        <w:t>Australasian Emergency Nursing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(2), 95–102. https://doi.org/10.1016/J.AENJ.2010.12.001</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Kalanlar, B. (2018). Effects of disaster nursing education on nursing students’ knowledge and preparedness for disasters. </w:t>
      </w:r>
      <w:r>
        <w:rPr>
          <w:rFonts w:ascii="Times New Roman" w:hAnsi="Times New Roman" w:cs="Times New Roman"/>
          <w:i/>
          <w:iCs/>
          <w:noProof/>
          <w:sz w:val="24"/>
          <w:szCs w:val="24"/>
        </w:rPr>
        <w:t>International Journal of Disaster Risk Reduction</w:t>
      </w:r>
      <w:r>
        <w:rPr>
          <w:rFonts w:ascii="Times New Roman" w:hAnsi="Times New Roman" w:cs="Times New Roman"/>
          <w:noProof/>
          <w:sz w:val="24"/>
          <w:szCs w:val="24"/>
        </w:rPr>
        <w:t xml:space="preserve">, </w:t>
      </w:r>
      <w:r>
        <w:rPr>
          <w:rFonts w:ascii="Times New Roman" w:hAnsi="Times New Roman" w:cs="Times New Roman"/>
          <w:i/>
          <w:iCs/>
          <w:noProof/>
          <w:sz w:val="24"/>
          <w:szCs w:val="24"/>
        </w:rPr>
        <w:t>28</w:t>
      </w:r>
      <w:r>
        <w:rPr>
          <w:rFonts w:ascii="Times New Roman" w:hAnsi="Times New Roman" w:cs="Times New Roman"/>
          <w:noProof/>
          <w:sz w:val="24"/>
          <w:szCs w:val="24"/>
        </w:rPr>
        <w:t>, 475–480. https://doi.org/10.1016/J.IJDRR.2017.12.008</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Kuniayanti, M. A. (2012). Peran Tenaga Kesehatan dalam Penanganan Manajemen Bencana. </w:t>
      </w:r>
      <w:r>
        <w:rPr>
          <w:rFonts w:ascii="Times New Roman" w:hAnsi="Times New Roman" w:cs="Times New Roman"/>
          <w:i/>
          <w:iCs/>
          <w:noProof/>
          <w:sz w:val="24"/>
          <w:szCs w:val="24"/>
        </w:rPr>
        <w:t>Jurnal Ilmiah Kesehatan Media Husada</w:t>
      </w:r>
      <w:r>
        <w:rPr>
          <w:rFonts w:ascii="Times New Roman" w:hAnsi="Times New Roman" w:cs="Times New Roman"/>
          <w:noProof/>
          <w:sz w:val="24"/>
          <w:szCs w:val="24"/>
        </w:rPr>
        <w:t>.</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Labrague, L. J., Hammad, K., Gloe, D. S., McEnroe-Petitte, D. M., Fronda, D. C., Obeidat, A. A., … Mirafuentes, E. C. (2018). Disaster preparedness among nurses: a systematic review of literature. </w:t>
      </w:r>
      <w:r>
        <w:rPr>
          <w:rFonts w:ascii="Times New Roman" w:hAnsi="Times New Roman" w:cs="Times New Roman"/>
          <w:i/>
          <w:iCs/>
          <w:noProof/>
          <w:sz w:val="24"/>
          <w:szCs w:val="24"/>
        </w:rPr>
        <w:t>International Nursing Review</w:t>
      </w:r>
      <w:r>
        <w:rPr>
          <w:rFonts w:ascii="Times New Roman" w:hAnsi="Times New Roman" w:cs="Times New Roman"/>
          <w:noProof/>
          <w:sz w:val="24"/>
          <w:szCs w:val="24"/>
        </w:rPr>
        <w:t>. https://doi.org/10.1111/inr.12369</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Labrague, Leodoro J., Yboa, B. C., Mcenroe-Petitte, D. M., Lobrino, L. R., &amp; Brennan, M. G. B. (2016). Disaster Preparedness in Philippine Nurses. </w:t>
      </w:r>
      <w:r>
        <w:rPr>
          <w:rFonts w:ascii="Times New Roman" w:hAnsi="Times New Roman" w:cs="Times New Roman"/>
          <w:i/>
          <w:iCs/>
          <w:noProof/>
          <w:sz w:val="24"/>
          <w:szCs w:val="24"/>
        </w:rPr>
        <w:t>Journal of Nursing Scholarship</w:t>
      </w:r>
      <w:r>
        <w:rPr>
          <w:rFonts w:ascii="Times New Roman" w:hAnsi="Times New Roman" w:cs="Times New Roman"/>
          <w:noProof/>
          <w:sz w:val="24"/>
          <w:szCs w:val="24"/>
        </w:rPr>
        <w:t>. https://doi.org/10.1111/jnu.12186</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Li, S., Meng, X., Ge, Z., &amp; Zhang, L. (2015). Evaluation of the threat from sea-level rise to the mangrove ecosystems in Tieshangang Bay, southern China. </w:t>
      </w:r>
      <w:r>
        <w:rPr>
          <w:rFonts w:ascii="Times New Roman" w:hAnsi="Times New Roman" w:cs="Times New Roman"/>
          <w:i/>
          <w:iCs/>
          <w:noProof/>
          <w:sz w:val="24"/>
          <w:szCs w:val="24"/>
        </w:rPr>
        <w:t>Ocean &amp; Coastal Management</w:t>
      </w:r>
      <w:r>
        <w:rPr>
          <w:rFonts w:ascii="Times New Roman" w:hAnsi="Times New Roman" w:cs="Times New Roman"/>
          <w:noProof/>
          <w:sz w:val="24"/>
          <w:szCs w:val="24"/>
        </w:rPr>
        <w:t xml:space="preserve">, </w:t>
      </w:r>
      <w:r>
        <w:rPr>
          <w:rFonts w:ascii="Times New Roman" w:hAnsi="Times New Roman" w:cs="Times New Roman"/>
          <w:i/>
          <w:iCs/>
          <w:noProof/>
          <w:sz w:val="24"/>
          <w:szCs w:val="24"/>
        </w:rPr>
        <w:t>109</w:t>
      </w:r>
      <w:r>
        <w:rPr>
          <w:rFonts w:ascii="Times New Roman" w:hAnsi="Times New Roman" w:cs="Times New Roman"/>
          <w:noProof/>
          <w:sz w:val="24"/>
          <w:szCs w:val="24"/>
        </w:rPr>
        <w:t>, 1–8. https://doi.org/10.1016/J.OCECOAMAN.2015.02.006</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Lindell, M. K. (2013). Disaster studies. </w:t>
      </w:r>
      <w:r>
        <w:rPr>
          <w:rFonts w:ascii="Times New Roman" w:hAnsi="Times New Roman" w:cs="Times New Roman"/>
          <w:i/>
          <w:iCs/>
          <w:noProof/>
          <w:sz w:val="24"/>
          <w:szCs w:val="24"/>
        </w:rPr>
        <w:t>Current Sociology</w:t>
      </w:r>
      <w:r>
        <w:rPr>
          <w:rFonts w:ascii="Times New Roman" w:hAnsi="Times New Roman" w:cs="Times New Roman"/>
          <w:noProof/>
          <w:sz w:val="24"/>
          <w:szCs w:val="24"/>
        </w:rPr>
        <w:t>. https://doi.org/10.1177/0011392113484456</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Loke, A. Y., &amp; Fung, O. W. M. (2014). Nurses’ competencies in disaster nursing: Implications for curriculum development and public health. </w:t>
      </w:r>
      <w:r>
        <w:rPr>
          <w:rFonts w:ascii="Times New Roman" w:hAnsi="Times New Roman" w:cs="Times New Roman"/>
          <w:i/>
          <w:iCs/>
          <w:noProof/>
          <w:sz w:val="24"/>
          <w:szCs w:val="24"/>
        </w:rPr>
        <w:t>International Journal of Environmental Research and Public Health</w:t>
      </w:r>
      <w:r>
        <w:rPr>
          <w:rFonts w:ascii="Times New Roman" w:hAnsi="Times New Roman" w:cs="Times New Roman"/>
          <w:noProof/>
          <w:sz w:val="24"/>
          <w:szCs w:val="24"/>
        </w:rPr>
        <w:t>. https://doi.org/10.3390/ijerph110303289</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Lovelock, C. E., Cahoon, D. R., Friess, D. A., Guntenspergen, G. R., Krauss, K. W., Reef, R., … Triet, T. (2015). The vulnerability of Indo-Pacific mangrove forests to sea-level rise. </w:t>
      </w:r>
      <w:r>
        <w:rPr>
          <w:rFonts w:ascii="Times New Roman" w:hAnsi="Times New Roman" w:cs="Times New Roman"/>
          <w:i/>
          <w:iCs/>
          <w:noProof/>
          <w:sz w:val="24"/>
          <w:szCs w:val="24"/>
        </w:rPr>
        <w:t>Nature</w:t>
      </w:r>
      <w:r>
        <w:rPr>
          <w:rFonts w:ascii="Times New Roman" w:hAnsi="Times New Roman" w:cs="Times New Roman"/>
          <w:noProof/>
          <w:sz w:val="24"/>
          <w:szCs w:val="24"/>
        </w:rPr>
        <w:t>. https://doi.org/10.1038/nature15538</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Maza, M., Lara, J. L., &amp; Losada, I. J. (2015). Tsunami wave interaction with mangrove forests: A 3-D numerical approach. </w:t>
      </w:r>
      <w:r>
        <w:rPr>
          <w:rFonts w:ascii="Times New Roman" w:hAnsi="Times New Roman" w:cs="Times New Roman"/>
          <w:i/>
          <w:iCs/>
          <w:noProof/>
          <w:sz w:val="24"/>
          <w:szCs w:val="24"/>
        </w:rPr>
        <w:t>Coastal Engineering</w:t>
      </w:r>
      <w:r>
        <w:rPr>
          <w:rFonts w:ascii="Times New Roman" w:hAnsi="Times New Roman" w:cs="Times New Roman"/>
          <w:noProof/>
          <w:sz w:val="24"/>
          <w:szCs w:val="24"/>
        </w:rPr>
        <w:t xml:space="preserve">, </w:t>
      </w:r>
      <w:r>
        <w:rPr>
          <w:rFonts w:ascii="Times New Roman" w:hAnsi="Times New Roman" w:cs="Times New Roman"/>
          <w:i/>
          <w:iCs/>
          <w:noProof/>
          <w:sz w:val="24"/>
          <w:szCs w:val="24"/>
        </w:rPr>
        <w:t>98</w:t>
      </w:r>
      <w:r>
        <w:rPr>
          <w:rFonts w:ascii="Times New Roman" w:hAnsi="Times New Roman" w:cs="Times New Roman"/>
          <w:noProof/>
          <w:sz w:val="24"/>
          <w:szCs w:val="24"/>
        </w:rPr>
        <w:t>, 33–54. https://doi.org/10.1016/J.COASTALENG.2015.01.002</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Nilsson, J., Johansson, E., Carlsson, M., Florin, J., Leksell, J., Lepp, M., … Gardulf, A. (2016). Disaster nursing: Self-reported competence of nursing students and registered nurses, with focus on their readiness to manage violence, serious events and disasters. </w:t>
      </w:r>
      <w:r>
        <w:rPr>
          <w:rFonts w:ascii="Times New Roman" w:hAnsi="Times New Roman" w:cs="Times New Roman"/>
          <w:i/>
          <w:iCs/>
          <w:noProof/>
          <w:sz w:val="24"/>
          <w:szCs w:val="24"/>
        </w:rPr>
        <w:lastRenderedPageBreak/>
        <w:t>Nurse Education in Practice</w:t>
      </w:r>
      <w:r>
        <w:rPr>
          <w:rFonts w:ascii="Times New Roman" w:hAnsi="Times New Roman" w:cs="Times New Roman"/>
          <w:noProof/>
          <w:sz w:val="24"/>
          <w:szCs w:val="24"/>
        </w:rPr>
        <w:t xml:space="preserve">, </w:t>
      </w:r>
      <w:r>
        <w:rPr>
          <w:rFonts w:ascii="Times New Roman" w:hAnsi="Times New Roman" w:cs="Times New Roman"/>
          <w:i/>
          <w:iCs/>
          <w:noProof/>
          <w:sz w:val="24"/>
          <w:szCs w:val="24"/>
        </w:rPr>
        <w:t>17</w:t>
      </w:r>
      <w:r>
        <w:rPr>
          <w:rFonts w:ascii="Times New Roman" w:hAnsi="Times New Roman" w:cs="Times New Roman"/>
          <w:noProof/>
          <w:sz w:val="24"/>
          <w:szCs w:val="24"/>
        </w:rPr>
        <w:t>, 102–108. https://doi.org/10.1016/J.NEPR.2015.09.012</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Paidi. (2012). Pengelolaan manajemen risiko bencana alam di indonesia. </w:t>
      </w:r>
      <w:r>
        <w:rPr>
          <w:rFonts w:ascii="Times New Roman" w:hAnsi="Times New Roman" w:cs="Times New Roman"/>
          <w:i/>
          <w:iCs/>
          <w:noProof/>
          <w:sz w:val="24"/>
          <w:szCs w:val="24"/>
        </w:rPr>
        <w:t>Widya</w:t>
      </w:r>
      <w:r>
        <w:rPr>
          <w:rFonts w:ascii="Times New Roman" w:hAnsi="Times New Roman" w:cs="Times New Roman"/>
          <w:noProof/>
          <w:sz w:val="24"/>
          <w:szCs w:val="24"/>
        </w:rPr>
        <w:t>.</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Park, H.-Y., &amp; Kim, J.-S. (2017). Factors influencing disaster nursing core competencies of emergency nurses. </w:t>
      </w:r>
      <w:r>
        <w:rPr>
          <w:rFonts w:ascii="Times New Roman" w:hAnsi="Times New Roman" w:cs="Times New Roman"/>
          <w:i/>
          <w:iCs/>
          <w:noProof/>
          <w:sz w:val="24"/>
          <w:szCs w:val="24"/>
        </w:rPr>
        <w:t>Applied Nursing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37</w:t>
      </w:r>
      <w:r>
        <w:rPr>
          <w:rFonts w:ascii="Times New Roman" w:hAnsi="Times New Roman" w:cs="Times New Roman"/>
          <w:noProof/>
          <w:sz w:val="24"/>
          <w:szCs w:val="24"/>
        </w:rPr>
        <w:t>, 1–5. https://doi.org/10.1016/J.APNR.2017.06.004</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Petrini, M. A. (2014). Mitigation, resilience, and nursing. </w:t>
      </w:r>
      <w:r>
        <w:rPr>
          <w:rFonts w:ascii="Times New Roman" w:hAnsi="Times New Roman" w:cs="Times New Roman"/>
          <w:i/>
          <w:iCs/>
          <w:noProof/>
          <w:sz w:val="24"/>
          <w:szCs w:val="24"/>
        </w:rPr>
        <w:t>Nursing and Health Sciences</w:t>
      </w:r>
      <w:r>
        <w:rPr>
          <w:rFonts w:ascii="Times New Roman" w:hAnsi="Times New Roman" w:cs="Times New Roman"/>
          <w:noProof/>
          <w:sz w:val="24"/>
          <w:szCs w:val="24"/>
        </w:rPr>
        <w:t>. https://doi.org/10.1111/nhs.12132</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Rasmeemasmuang, T., &amp; Sasaki, J. (2015). Wave Reduction in Mangrove Forests: General Information and Case Study in Thailand. </w:t>
      </w:r>
      <w:r>
        <w:rPr>
          <w:rFonts w:ascii="Times New Roman" w:hAnsi="Times New Roman" w:cs="Times New Roman"/>
          <w:i/>
          <w:iCs/>
          <w:noProof/>
          <w:sz w:val="24"/>
          <w:szCs w:val="24"/>
        </w:rPr>
        <w:t>Handbook of Coastal Disaster Mitigation for Engineers and Planners</w:t>
      </w:r>
      <w:r>
        <w:rPr>
          <w:rFonts w:ascii="Times New Roman" w:hAnsi="Times New Roman" w:cs="Times New Roman"/>
          <w:noProof/>
          <w:sz w:val="24"/>
          <w:szCs w:val="24"/>
        </w:rPr>
        <w:t>, 511–535. https://doi.org/10.1016/B978-0-12-801060-0.00024-1</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Rizqillah, A. F., &amp; Suna, J. (2018). Indonesian emergency nurses’ preparedness to respond to disaster: A descriptive survey. </w:t>
      </w:r>
      <w:r>
        <w:rPr>
          <w:rFonts w:ascii="Times New Roman" w:hAnsi="Times New Roman" w:cs="Times New Roman"/>
          <w:i/>
          <w:iCs/>
          <w:noProof/>
          <w:sz w:val="24"/>
          <w:szCs w:val="24"/>
        </w:rPr>
        <w:t>Australasian Emergency Care</w:t>
      </w:r>
      <w:r>
        <w:rPr>
          <w:rFonts w:ascii="Times New Roman" w:hAnsi="Times New Roman" w:cs="Times New Roman"/>
          <w:noProof/>
          <w:sz w:val="24"/>
          <w:szCs w:val="24"/>
        </w:rPr>
        <w:t xml:space="preserve">, </w:t>
      </w:r>
      <w:r>
        <w:rPr>
          <w:rFonts w:ascii="Times New Roman" w:hAnsi="Times New Roman" w:cs="Times New Roman"/>
          <w:i/>
          <w:iCs/>
          <w:noProof/>
          <w:sz w:val="24"/>
          <w:szCs w:val="24"/>
        </w:rPr>
        <w:t>21</w:t>
      </w:r>
      <w:r>
        <w:rPr>
          <w:rFonts w:ascii="Times New Roman" w:hAnsi="Times New Roman" w:cs="Times New Roman"/>
          <w:noProof/>
          <w:sz w:val="24"/>
          <w:szCs w:val="24"/>
        </w:rPr>
        <w:t>(2), 64–68. https://doi.org/10.1016/J.AUEC.2018.04.001</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Rogers, K., Boon, P. I., Branigan, S., Duke, N. C., Field, C. D., Fitzsimons, J. A., … Saintilan, N. (2016). The state of legislation and policy protecting Australia’s mangrove and salt marsh and their ecosystem services. </w:t>
      </w:r>
      <w:r>
        <w:rPr>
          <w:rFonts w:ascii="Times New Roman" w:hAnsi="Times New Roman" w:cs="Times New Roman"/>
          <w:i/>
          <w:iCs/>
          <w:noProof/>
          <w:sz w:val="24"/>
          <w:szCs w:val="24"/>
        </w:rPr>
        <w:t>Marine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72</w:t>
      </w:r>
      <w:r>
        <w:rPr>
          <w:rFonts w:ascii="Times New Roman" w:hAnsi="Times New Roman" w:cs="Times New Roman"/>
          <w:noProof/>
          <w:sz w:val="24"/>
          <w:szCs w:val="24"/>
        </w:rPr>
        <w:t>, 139–155. https://doi.org/10.1016/J.MARPOL.2016.06.025</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Saintilan, N., Wilson, N. C., Rogers, K., Rajkaran, A., &amp; Krauss, K. W. (2014). Mangrove expansion and salt marsh decline at mangrove poleward limits. </w:t>
      </w:r>
      <w:r>
        <w:rPr>
          <w:rFonts w:ascii="Times New Roman" w:hAnsi="Times New Roman" w:cs="Times New Roman"/>
          <w:i/>
          <w:iCs/>
          <w:noProof/>
          <w:sz w:val="24"/>
          <w:szCs w:val="24"/>
        </w:rPr>
        <w:t>Global Change Biology</w:t>
      </w:r>
      <w:r>
        <w:rPr>
          <w:rFonts w:ascii="Times New Roman" w:hAnsi="Times New Roman" w:cs="Times New Roman"/>
          <w:noProof/>
          <w:sz w:val="24"/>
          <w:szCs w:val="24"/>
        </w:rPr>
        <w:t>. https://doi.org/10.1111/gcb.12341</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Saw, A. A., &amp; Kanzaki, M. (2015). Local Livelihoods and Encroachment into a Mangrove Forest Reserve: A Case Study of the Wunbaik Reserved Mangrove Forest, Myanmar. </w:t>
      </w:r>
      <w:r>
        <w:rPr>
          <w:rFonts w:ascii="Times New Roman" w:hAnsi="Times New Roman" w:cs="Times New Roman"/>
          <w:i/>
          <w:iCs/>
          <w:noProof/>
          <w:sz w:val="24"/>
          <w:szCs w:val="24"/>
        </w:rPr>
        <w:t>Procedia Environmental Sciences</w:t>
      </w:r>
      <w:r>
        <w:rPr>
          <w:rFonts w:ascii="Times New Roman" w:hAnsi="Times New Roman" w:cs="Times New Roman"/>
          <w:noProof/>
          <w:sz w:val="24"/>
          <w:szCs w:val="24"/>
        </w:rPr>
        <w:t xml:space="preserve">, </w:t>
      </w:r>
      <w:r>
        <w:rPr>
          <w:rFonts w:ascii="Times New Roman" w:hAnsi="Times New Roman" w:cs="Times New Roman"/>
          <w:i/>
          <w:iCs/>
          <w:noProof/>
          <w:sz w:val="24"/>
          <w:szCs w:val="24"/>
        </w:rPr>
        <w:t>28</w:t>
      </w:r>
      <w:r>
        <w:rPr>
          <w:rFonts w:ascii="Times New Roman" w:hAnsi="Times New Roman" w:cs="Times New Roman"/>
          <w:noProof/>
          <w:sz w:val="24"/>
          <w:szCs w:val="24"/>
        </w:rPr>
        <w:t>, 483–492. https://doi.org/10.1016/J.PROENV.2015.07.058</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Scholten, K., Scott, P. S., &amp; Fynes, B. (2014). Mitigation processes - antecedents for building supply chain resilience. </w:t>
      </w:r>
      <w:r>
        <w:rPr>
          <w:rFonts w:ascii="Times New Roman" w:hAnsi="Times New Roman" w:cs="Times New Roman"/>
          <w:i/>
          <w:iCs/>
          <w:noProof/>
          <w:sz w:val="24"/>
          <w:szCs w:val="24"/>
        </w:rPr>
        <w:t>Supply Chain Management</w:t>
      </w:r>
      <w:r>
        <w:rPr>
          <w:rFonts w:ascii="Times New Roman" w:hAnsi="Times New Roman" w:cs="Times New Roman"/>
          <w:noProof/>
          <w:sz w:val="24"/>
          <w:szCs w:val="24"/>
        </w:rPr>
        <w:t>. https://doi.org/10.1108/SCM-06-2013-0191</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Sierra-Correa, P. C., &amp; Cantera Kintz, J. R. (2015). Ecosystem-based adaptation for improving coastal planning for sea-level rise: A systematic review for mangrove coasts. </w:t>
      </w:r>
      <w:r>
        <w:rPr>
          <w:rFonts w:ascii="Times New Roman" w:hAnsi="Times New Roman" w:cs="Times New Roman"/>
          <w:i/>
          <w:iCs/>
          <w:noProof/>
          <w:sz w:val="24"/>
          <w:szCs w:val="24"/>
        </w:rPr>
        <w:t>Marine Policy</w:t>
      </w:r>
      <w:r>
        <w:rPr>
          <w:rFonts w:ascii="Times New Roman" w:hAnsi="Times New Roman" w:cs="Times New Roman"/>
          <w:noProof/>
          <w:sz w:val="24"/>
          <w:szCs w:val="24"/>
        </w:rPr>
        <w:t xml:space="preserve">, </w:t>
      </w:r>
      <w:r>
        <w:rPr>
          <w:rFonts w:ascii="Times New Roman" w:hAnsi="Times New Roman" w:cs="Times New Roman"/>
          <w:i/>
          <w:iCs/>
          <w:noProof/>
          <w:sz w:val="24"/>
          <w:szCs w:val="24"/>
        </w:rPr>
        <w:t>51</w:t>
      </w:r>
      <w:r>
        <w:rPr>
          <w:rFonts w:ascii="Times New Roman" w:hAnsi="Times New Roman" w:cs="Times New Roman"/>
          <w:noProof/>
          <w:sz w:val="24"/>
          <w:szCs w:val="24"/>
        </w:rPr>
        <w:t>, 385–393. https://doi.org/10.1016/J.MARPOL.2014.09.013</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Sonneborn, O., Miller, C., Head, L., &amp; Cross, R. (2018). Disaster education and preparedness in the acute care setting: A cross sectional survey of operating theatre nurse’s disaster knowledge and education. </w:t>
      </w:r>
      <w:r>
        <w:rPr>
          <w:rFonts w:ascii="Times New Roman" w:hAnsi="Times New Roman" w:cs="Times New Roman"/>
          <w:i/>
          <w:iCs/>
          <w:noProof/>
          <w:sz w:val="24"/>
          <w:szCs w:val="24"/>
        </w:rPr>
        <w:t>Nurse Education Today</w:t>
      </w:r>
      <w:r>
        <w:rPr>
          <w:rFonts w:ascii="Times New Roman" w:hAnsi="Times New Roman" w:cs="Times New Roman"/>
          <w:noProof/>
          <w:sz w:val="24"/>
          <w:szCs w:val="24"/>
        </w:rPr>
        <w:t xml:space="preserve">, </w:t>
      </w:r>
      <w:r>
        <w:rPr>
          <w:rFonts w:ascii="Times New Roman" w:hAnsi="Times New Roman" w:cs="Times New Roman"/>
          <w:i/>
          <w:iCs/>
          <w:noProof/>
          <w:sz w:val="24"/>
          <w:szCs w:val="24"/>
        </w:rPr>
        <w:t>65</w:t>
      </w:r>
      <w:r>
        <w:rPr>
          <w:rFonts w:ascii="Times New Roman" w:hAnsi="Times New Roman" w:cs="Times New Roman"/>
          <w:noProof/>
          <w:sz w:val="24"/>
          <w:szCs w:val="24"/>
        </w:rPr>
        <w:t>, 23–29. https://doi.org/10.1016/J.NEDT.2018.02.015</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Suwaryo, P. A. W., &amp; Yuwono, P. (2017). Faktor-faktor yang mempengaruhi tingkat pengetahuan masyarakat dalam mitigasi bencana alam tanah longsor. </w:t>
      </w:r>
      <w:r>
        <w:rPr>
          <w:rFonts w:ascii="Times New Roman" w:hAnsi="Times New Roman" w:cs="Times New Roman"/>
          <w:i/>
          <w:iCs/>
          <w:noProof/>
          <w:sz w:val="24"/>
          <w:szCs w:val="24"/>
        </w:rPr>
        <w:t>Urecol 6th</w:t>
      </w:r>
      <w:r>
        <w:rPr>
          <w:rFonts w:ascii="Times New Roman" w:hAnsi="Times New Roman" w:cs="Times New Roman"/>
          <w:noProof/>
          <w:sz w:val="24"/>
          <w:szCs w:val="24"/>
        </w:rPr>
        <w:t>.</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Tzeng, W.-C., Feng, H.-P., Cheng, W.-T., Lin, C.-H., Chiang, L.-C., Pai, L., &amp; Lee, C.-L. (2016). Readiness of hospital nurses for disaster responses in Taiwan: A cross-sectional study. </w:t>
      </w:r>
      <w:r>
        <w:rPr>
          <w:rFonts w:ascii="Times New Roman" w:hAnsi="Times New Roman" w:cs="Times New Roman"/>
          <w:i/>
          <w:iCs/>
          <w:noProof/>
          <w:sz w:val="24"/>
          <w:szCs w:val="24"/>
        </w:rPr>
        <w:t>Nurse Education Today</w:t>
      </w:r>
      <w:r>
        <w:rPr>
          <w:rFonts w:ascii="Times New Roman" w:hAnsi="Times New Roman" w:cs="Times New Roman"/>
          <w:noProof/>
          <w:sz w:val="24"/>
          <w:szCs w:val="24"/>
        </w:rPr>
        <w:t xml:space="preserve">, </w:t>
      </w:r>
      <w:r>
        <w:rPr>
          <w:rFonts w:ascii="Times New Roman" w:hAnsi="Times New Roman" w:cs="Times New Roman"/>
          <w:i/>
          <w:iCs/>
          <w:noProof/>
          <w:sz w:val="24"/>
          <w:szCs w:val="24"/>
        </w:rPr>
        <w:t>47</w:t>
      </w:r>
      <w:r>
        <w:rPr>
          <w:rFonts w:ascii="Times New Roman" w:hAnsi="Times New Roman" w:cs="Times New Roman"/>
          <w:noProof/>
          <w:sz w:val="24"/>
          <w:szCs w:val="24"/>
        </w:rPr>
        <w:t>, 37–42. https://doi.org/10.1016/J.NEDT.2016.02.025</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Usher, K., &amp; Mayner, L. (2011). Disaster nursing: A descriptive survey of Australian undergraduate nursing curricula. </w:t>
      </w:r>
      <w:r>
        <w:rPr>
          <w:rFonts w:ascii="Times New Roman" w:hAnsi="Times New Roman" w:cs="Times New Roman"/>
          <w:i/>
          <w:iCs/>
          <w:noProof/>
          <w:sz w:val="24"/>
          <w:szCs w:val="24"/>
        </w:rPr>
        <w:t>Australasian Emergency Nursing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(2), 75–80. https://doi.org/10.1016/J.AENJ.2011.02.005</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Veenema, T. G., Griffin, A., Gable, A. R., Macintyre, L., Simons, R. N., Couig, M. P., … Larson, E. (2016). Nurses as Leaders in Disaster Preparedness and Response-A Call to Action. </w:t>
      </w:r>
      <w:r>
        <w:rPr>
          <w:rFonts w:ascii="Times New Roman" w:hAnsi="Times New Roman" w:cs="Times New Roman"/>
          <w:i/>
          <w:iCs/>
          <w:noProof/>
          <w:sz w:val="24"/>
          <w:szCs w:val="24"/>
        </w:rPr>
        <w:t>Journal of Nursing Scholarship</w:t>
      </w:r>
      <w:r>
        <w:rPr>
          <w:rFonts w:ascii="Times New Roman" w:hAnsi="Times New Roman" w:cs="Times New Roman"/>
          <w:noProof/>
          <w:sz w:val="24"/>
          <w:szCs w:val="24"/>
        </w:rPr>
        <w:t>. https://doi.org/10.1111/jnu.12198</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Widayatun, &amp; Fatoni, Z. (2013). Permasalahan Kesehatan dalam Kondisi Bencana:Peran Petugas Kesehatan dan Partisipasi Masyarakat (Health Problems in a Disaster Situation : the Role of Health Personnels and Community Participation). </w:t>
      </w:r>
      <w:r>
        <w:rPr>
          <w:rFonts w:ascii="Times New Roman" w:hAnsi="Times New Roman" w:cs="Times New Roman"/>
          <w:i/>
          <w:iCs/>
          <w:noProof/>
          <w:sz w:val="24"/>
          <w:szCs w:val="24"/>
        </w:rPr>
        <w:t>Jurnal Kependudukan Indonesia</w:t>
      </w:r>
      <w:r>
        <w:rPr>
          <w:rFonts w:ascii="Times New Roman" w:hAnsi="Times New Roman" w:cs="Times New Roman"/>
          <w:noProof/>
          <w:sz w:val="24"/>
          <w:szCs w:val="24"/>
        </w:rPr>
        <w:t>.</w:t>
      </w:r>
    </w:p>
    <w:p w:rsidR="00B7331B" w:rsidRDefault="00B7331B" w:rsidP="00B7331B">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Pr>
          <w:rFonts w:ascii="Times New Roman" w:hAnsi="Times New Roman" w:cs="Times New Roman"/>
          <w:noProof/>
          <w:sz w:val="24"/>
          <w:szCs w:val="24"/>
        </w:rPr>
        <w:t xml:space="preserve">Yan, Y. E., Turale, S., Stone, T., &amp; Petrini, M. (2015). Disaster nursing skills, knowledge and attitudes required in earthquake relief: Implications for nursing education. </w:t>
      </w:r>
      <w:r>
        <w:rPr>
          <w:rFonts w:ascii="Times New Roman" w:hAnsi="Times New Roman" w:cs="Times New Roman"/>
          <w:i/>
          <w:iCs/>
          <w:noProof/>
          <w:sz w:val="24"/>
          <w:szCs w:val="24"/>
        </w:rPr>
        <w:t>International Nursing Review</w:t>
      </w:r>
      <w:r>
        <w:rPr>
          <w:rFonts w:ascii="Times New Roman" w:hAnsi="Times New Roman" w:cs="Times New Roman"/>
          <w:noProof/>
          <w:sz w:val="24"/>
          <w:szCs w:val="24"/>
        </w:rPr>
        <w:t>. https://doi.org/10.1111/inr.12175</w:t>
      </w:r>
    </w:p>
    <w:p w:rsidR="00B7331B" w:rsidRDefault="00B7331B" w:rsidP="00B7331B">
      <w:pPr>
        <w:pStyle w:val="JKKReferences"/>
      </w:pPr>
      <w:r>
        <w:fldChar w:fldCharType="end"/>
      </w:r>
    </w:p>
    <w:p w:rsidR="001C5674" w:rsidRPr="00B7331B" w:rsidRDefault="001C5674" w:rsidP="00B7331B"/>
    <w:sectPr w:rsidR="001C5674" w:rsidRPr="00B7331B" w:rsidSect="00A07A2E">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636A" w:rsidRDefault="00E0636A" w:rsidP="00322946">
      <w:pPr>
        <w:spacing w:after="0" w:line="240" w:lineRule="auto"/>
      </w:pPr>
      <w:r>
        <w:separator/>
      </w:r>
    </w:p>
  </w:endnote>
  <w:endnote w:type="continuationSeparator" w:id="0">
    <w:p w:rsidR="00E0636A" w:rsidRDefault="00E0636A" w:rsidP="003229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Junicode">
    <w:altName w:val="Times New Roman"/>
    <w:charset w:val="00"/>
    <w:family w:val="auto"/>
    <w:pitch w:val="variable"/>
    <w:sig w:usb0="00000001" w:usb1="5000E4FF" w:usb2="00008004" w:usb3="00000000" w:csb0="8000009B"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2E" w:rsidRDefault="00D61B7B" w:rsidP="00A07A2E">
    <w:pPr>
      <w:pStyle w:val="Footer"/>
      <w:tabs>
        <w:tab w:val="center" w:pos="4395"/>
      </w:tabs>
      <w:rPr>
        <w:i/>
        <w:noProof/>
        <w:sz w:val="18"/>
        <w:szCs w:val="18"/>
      </w:rPr>
    </w:pPr>
    <w:r w:rsidRPr="003132E5">
      <w:rPr>
        <w:noProof/>
        <w:lang w:val="en-US"/>
      </w:rPr>
      <mc:AlternateContent>
        <mc:Choice Requires="wps">
          <w:drawing>
            <wp:anchor distT="0" distB="0" distL="114300" distR="114300" simplePos="0" relativeHeight="251665408" behindDoc="0" locked="0" layoutInCell="1" allowOverlap="1" wp14:anchorId="64121B45" wp14:editId="25AD242C">
              <wp:simplePos x="0" y="0"/>
              <wp:positionH relativeFrom="margin">
                <wp:align>right</wp:align>
              </wp:positionH>
              <wp:positionV relativeFrom="paragraph">
                <wp:posOffset>21378</wp:posOffset>
              </wp:positionV>
              <wp:extent cx="5730240" cy="53340"/>
              <wp:effectExtent l="0" t="0" r="3810" b="381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C9B70E" id="Rectangle 50" o:spid="_x0000_s1026" style="position:absolute;margin-left:400pt;margin-top:1.7pt;width:451.2pt;height:4.2pt;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" fillcolor="#5deb1d" stroked="f" strokeweight="1pt">
              <v:fill color2="#d2ce11" rotate="t" focusposition=".5,85197f" focussize="" colors="0 #5deb1d;57672f #d2ce11" focus="100%" type="gradientRadial"/>
              <v:path arrowok="t"/>
              <w10:wrap anchorx="margin"/>
            </v:rect>
          </w:pict>
        </mc:Fallback>
      </mc:AlternateContent>
    </w:r>
  </w:p>
  <w:p w:rsidR="00A07A2E" w:rsidRPr="00492DC6" w:rsidRDefault="00D61B7B" w:rsidP="00A07A2E">
    <w:pPr>
      <w:pStyle w:val="Footer"/>
      <w:tabs>
        <w:tab w:val="center" w:pos="4395"/>
      </w:tabs>
      <w:rPr>
        <w:sz w:val="18"/>
        <w:szCs w:val="18"/>
      </w:rPr>
    </w:pPr>
    <w:r w:rsidRPr="00492DC6">
      <w:rPr>
        <w:i/>
        <w:noProof/>
        <w:sz w:val="18"/>
        <w:szCs w:val="18"/>
      </w:rPr>
      <w:t>First Author et.al (Title of paper shortly)</w:t>
    </w:r>
  </w:p>
  <w:p w:rsidR="00A07A2E" w:rsidRDefault="00E0636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A2E" w:rsidRDefault="00D61B7B" w:rsidP="00A07A2E">
    <w:pPr>
      <w:pStyle w:val="Footer"/>
      <w:tabs>
        <w:tab w:val="center" w:pos="4395"/>
      </w:tabs>
      <w:rPr>
        <w:i/>
        <w:noProof/>
        <w:sz w:val="18"/>
        <w:szCs w:val="18"/>
      </w:rPr>
    </w:pPr>
    <w:r w:rsidRPr="003132E5">
      <w:rPr>
        <w:noProof/>
        <w:lang w:val="en-US"/>
      </w:rPr>
      <mc:AlternateContent>
        <mc:Choice Requires="wps">
          <w:drawing>
            <wp:anchor distT="0" distB="0" distL="114300" distR="114300" simplePos="0" relativeHeight="251664384" behindDoc="0" locked="0" layoutInCell="1" allowOverlap="1" wp14:anchorId="71C02764" wp14:editId="73B420DC">
              <wp:simplePos x="0" y="0"/>
              <wp:positionH relativeFrom="margin">
                <wp:align>right</wp:align>
              </wp:positionH>
              <wp:positionV relativeFrom="paragraph">
                <wp:posOffset>21378</wp:posOffset>
              </wp:positionV>
              <wp:extent cx="5730240" cy="53340"/>
              <wp:effectExtent l="0" t="0" r="3810" b="381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BCACA44" id="Rectangle 49" o:spid="_x0000_s1026" style="position:absolute;margin-left:400pt;margin-top:1.7pt;width:451.2pt;height:4.2pt;flip:y;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" fillcolor="#5deb1d" stroked="f" strokeweight="1pt">
              <v:fill color2="#d2ce11" rotate="t" focusposition=".5,85197f" focussize="" colors="0 #5deb1d;57672f #d2ce11" focus="100%" type="gradientRadial"/>
              <v:path arrowok="t"/>
              <w10:wrap anchorx="margin"/>
            </v:rect>
          </w:pict>
        </mc:Fallback>
      </mc:AlternateContent>
    </w:r>
  </w:p>
  <w:p w:rsidR="00A07A2E" w:rsidRPr="00492DC6" w:rsidRDefault="00D61B7B" w:rsidP="00A07A2E">
    <w:pPr>
      <w:pStyle w:val="Footer"/>
      <w:tabs>
        <w:tab w:val="center" w:pos="4395"/>
      </w:tabs>
      <w:rPr>
        <w:sz w:val="18"/>
        <w:szCs w:val="18"/>
      </w:rPr>
    </w:pPr>
    <w:r w:rsidRPr="00492DC6">
      <w:rPr>
        <w:i/>
        <w:noProof/>
        <w:sz w:val="18"/>
        <w:szCs w:val="18"/>
      </w:rPr>
      <w:t>First Author et.al (Title of paper shortly)</w:t>
    </w:r>
  </w:p>
  <w:p w:rsidR="002457C4" w:rsidRPr="00C00099" w:rsidRDefault="00E0636A" w:rsidP="00C0009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7A0" w:rsidRDefault="00D61B7B" w:rsidP="002417A0">
    <w:pPr>
      <w:pStyle w:val="Copyright"/>
      <w:framePr w:hSpace="0" w:wrap="auto" w:vAnchor="margin" w:yAlign="inline"/>
      <w:ind w:right="149"/>
      <w:suppressOverlap w:val="0"/>
      <w:rPr>
        <w:lang w:val="id-ID"/>
      </w:rPr>
    </w:pPr>
    <w:r w:rsidRPr="003132E5">
      <w:rPr>
        <w:noProof/>
        <w:lang w:val="en-US"/>
      </w:rPr>
      <mc:AlternateContent>
        <mc:Choice Requires="wps">
          <w:drawing>
            <wp:anchor distT="0" distB="0" distL="114300" distR="114300" simplePos="0" relativeHeight="251660288" behindDoc="0" locked="0" layoutInCell="1" allowOverlap="1" wp14:anchorId="5355696E" wp14:editId="0EBA8F1C">
              <wp:simplePos x="0" y="0"/>
              <wp:positionH relativeFrom="margin">
                <wp:align>right</wp:align>
              </wp:positionH>
              <wp:positionV relativeFrom="paragraph">
                <wp:posOffset>9280</wp:posOffset>
              </wp:positionV>
              <wp:extent cx="5730240" cy="53340"/>
              <wp:effectExtent l="0" t="0" r="3810" b="381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60D9D5" id="Rectangle 36" o:spid="_x0000_s1026" style="position:absolute;margin-left:400pt;margin-top:.75pt;width:451.2pt;height:4.2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" fillcolor="#5deb1d" stroked="f" strokeweight="1pt">
              <v:fill color2="#d2ce11" rotate="t" focusposition=".5,85197f" focussize="" colors="0 #5deb1d;57672f #d2ce11" focus="100%" type="gradientRadial"/>
              <v:path arrowok="t"/>
              <w10:wrap anchorx="margin"/>
            </v:rect>
          </w:pict>
        </mc:Fallback>
      </mc:AlternateContent>
    </w:r>
    <w:r>
      <w:rPr>
        <w:noProof/>
        <w:lang w:val="en-US"/>
      </w:rPr>
      <w:drawing>
        <wp:anchor distT="0" distB="0" distL="114300" distR="114300" simplePos="0" relativeHeight="251661312" behindDoc="0" locked="0" layoutInCell="1" allowOverlap="0" wp14:anchorId="2610D919" wp14:editId="6F656933">
          <wp:simplePos x="0" y="0"/>
          <wp:positionH relativeFrom="margin">
            <wp:posOffset>4873821</wp:posOffset>
          </wp:positionH>
          <wp:positionV relativeFrom="paragraph">
            <wp:posOffset>181707</wp:posOffset>
          </wp:positionV>
          <wp:extent cx="840105" cy="297180"/>
          <wp:effectExtent l="0" t="0" r="0" b="7620"/>
          <wp:wrapTopAndBottom/>
          <wp:docPr id="48" name="Picture 48" descr="https://licensebuttons.net/l/by-sa/3.0/88x31.png">
            <a:hlinkClick xmlns:a="http://schemas.openxmlformats.org/drawingml/2006/main" r:id="rId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icensebuttons.net/l/by-sa/3.0/88x31.png">
                    <a:hlinkClick r:id="rId1" tgtFrame="_blank"/>
                  </pic:cNvPr>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840105" cy="29718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id-ID"/>
      </w:rPr>
      <w:t xml:space="preserve">  </w:t>
    </w:r>
  </w:p>
  <w:p w:rsidR="002417A0" w:rsidRPr="00770151" w:rsidRDefault="00D61B7B" w:rsidP="002417A0">
    <w:pPr>
      <w:pStyle w:val="Copyright"/>
      <w:framePr w:wrap="around"/>
    </w:pPr>
    <w:r>
      <w:rPr>
        <w:lang w:val="id-ID"/>
      </w:rPr>
      <w:t xml:space="preserve">Doi :                                                                                                        </w:t>
    </w:r>
    <w:r w:rsidRPr="00770151">
      <w:t xml:space="preserve">This is an </w:t>
    </w:r>
    <w:r w:rsidRPr="00607F93">
      <w:t>open</w:t>
    </w:r>
    <w:r w:rsidRPr="00770151">
      <w:t xml:space="preserve"> access article under the </w:t>
    </w:r>
    <w:hyperlink r:id="rId4" w:history="1">
      <w:r w:rsidRPr="00770151">
        <w:rPr>
          <w:rStyle w:val="Hyperlink"/>
        </w:rPr>
        <w:t>CC–BY-SA</w:t>
      </w:r>
    </w:hyperlink>
    <w:r w:rsidRPr="00770151">
      <w:t xml:space="preserve"> license.</w:t>
    </w:r>
  </w:p>
  <w:p w:rsidR="002417A0" w:rsidRDefault="00E0636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636A" w:rsidRDefault="00E0636A" w:rsidP="00322946">
      <w:pPr>
        <w:spacing w:after="0" w:line="240" w:lineRule="auto"/>
      </w:pPr>
      <w:r>
        <w:separator/>
      </w:r>
    </w:p>
  </w:footnote>
  <w:footnote w:type="continuationSeparator" w:id="0">
    <w:p w:rsidR="00E0636A" w:rsidRDefault="00E0636A" w:rsidP="003229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56FD" w:rsidRPr="00F719F2" w:rsidRDefault="00D61B7B" w:rsidP="004A56FD">
    <w:pPr>
      <w:pStyle w:val="Header"/>
      <w:tabs>
        <w:tab w:val="center" w:pos="4395"/>
      </w:tabs>
    </w:pPr>
    <w:r w:rsidRPr="00FD4BAA">
      <w:rPr>
        <w:b/>
        <w:sz w:val="22"/>
      </w:rPr>
      <w:fldChar w:fldCharType="begin"/>
    </w:r>
    <w:r w:rsidRPr="00FD4BAA">
      <w:rPr>
        <w:b/>
        <w:sz w:val="22"/>
      </w:rPr>
      <w:instrText xml:space="preserve"> PAGE   \* MERGEFORMAT </w:instrText>
    </w:r>
    <w:r w:rsidRPr="00FD4BAA">
      <w:rPr>
        <w:b/>
        <w:sz w:val="22"/>
      </w:rPr>
      <w:fldChar w:fldCharType="separate"/>
    </w:r>
    <w:r w:rsidRPr="00845B7B">
      <w:rPr>
        <w:b/>
        <w:noProof/>
      </w:rPr>
      <w:t>2</w:t>
    </w:r>
    <w:r w:rsidRPr="00FD4BAA">
      <w:rPr>
        <w:b/>
        <w:noProof/>
        <w:sz w:val="22"/>
      </w:rPr>
      <w:fldChar w:fldCharType="end"/>
    </w:r>
    <w:r w:rsidRPr="004D3498">
      <w:rPr>
        <w:noProof/>
      </w:rPr>
      <w:tab/>
    </w:r>
    <w:r>
      <w:t>Jurnal Kebidanan dan Keperawatan Aisyiyah</w:t>
    </w:r>
    <w:r>
      <w:rPr>
        <w:noProof/>
      </w:rPr>
      <w:tab/>
    </w:r>
    <w:r w:rsidRPr="00A07A2E">
      <w:t xml:space="preserve">ISSN 2477-8184  </w:t>
    </w:r>
  </w:p>
  <w:p w:rsidR="004A56FD" w:rsidRPr="00A25627" w:rsidRDefault="00D61B7B" w:rsidP="004A56FD">
    <w:pPr>
      <w:pStyle w:val="Header"/>
      <w:tabs>
        <w:tab w:val="center" w:pos="4395"/>
      </w:tabs>
    </w:pPr>
    <w:r>
      <w:rPr>
        <w:i/>
      </w:rPr>
      <w:tab/>
    </w:r>
    <w:r w:rsidRPr="004D3498">
      <w:rPr>
        <w:i/>
      </w:rPr>
      <w:t xml:space="preserve">Vol. </w:t>
    </w:r>
    <w:r>
      <w:rPr>
        <w:i/>
      </w:rPr>
      <w:t>3, No. 2</w:t>
    </w:r>
    <w:r w:rsidRPr="004D3498">
      <w:rPr>
        <w:i/>
      </w:rPr>
      <w:t xml:space="preserve">, </w:t>
    </w:r>
    <w:r>
      <w:rPr>
        <w:i/>
      </w:rPr>
      <w:t>July 2018</w:t>
    </w:r>
    <w:r w:rsidRPr="004D3498">
      <w:rPr>
        <w:i/>
      </w:rPr>
      <w:t>, pp. xx-xx</w:t>
    </w:r>
  </w:p>
  <w:p w:rsidR="004A56FD" w:rsidRPr="004A56FD" w:rsidRDefault="00D61B7B" w:rsidP="004A56FD">
    <w:pPr>
      <w:pStyle w:val="Header"/>
    </w:pPr>
    <w:r w:rsidRPr="003132E5">
      <w:rPr>
        <w:noProof/>
        <w:lang w:val="en-US"/>
      </w:rPr>
      <mc:AlternateContent>
        <mc:Choice Requires="wps">
          <w:drawing>
            <wp:anchor distT="0" distB="0" distL="114300" distR="114300" simplePos="0" relativeHeight="251662336" behindDoc="0" locked="0" layoutInCell="1" allowOverlap="1" wp14:anchorId="3FB413ED" wp14:editId="7A6D4FDF">
              <wp:simplePos x="0" y="0"/>
              <wp:positionH relativeFrom="margin">
                <wp:posOffset>0</wp:posOffset>
              </wp:positionH>
              <wp:positionV relativeFrom="paragraph">
                <wp:posOffset>65617</wp:posOffset>
              </wp:positionV>
              <wp:extent cx="5730240" cy="53340"/>
              <wp:effectExtent l="0" t="0" r="3810" b="381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81C5558" id="Rectangle 44" o:spid="_x0000_s1026" style="position:absolute;margin-left:0;margin-top:5.15pt;width:451.2pt;height:4.2pt;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" fillcolor="#5deb1d" stroked="f" strokeweight="1pt">
              <v:fill color2="#d2ce11" rotate="t" focusposition=".5,85197f" focussize="" colors="0 #5deb1d;57672f #d2ce11" focus="100%" type="gradientRadial"/>
              <v:path arrowok="t"/>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46" w:rsidRDefault="00322946" w:rsidP="00322946">
    <w:pPr>
      <w:pStyle w:val="Header"/>
    </w:pPr>
    <w:r>
      <w:t xml:space="preserve">Jurnal </w:t>
    </w:r>
    <w:r>
      <w:rPr>
        <w:lang w:val="en-US"/>
      </w:rPr>
      <w:t>Health of Studies</w:t>
    </w:r>
    <w:r>
      <w:rPr>
        <w:lang w:val="en-US"/>
      </w:rPr>
      <w:tab/>
    </w:r>
    <w:r>
      <w:rPr>
        <w:lang w:val="en-US"/>
      </w:rPr>
      <w:tab/>
    </w:r>
    <w:r>
      <w:t xml:space="preserve">                                                          ISSN</w:t>
    </w:r>
    <w:r>
      <w:rPr>
        <w:lang w:val="en-US"/>
      </w:rPr>
      <w:t xml:space="preserve"> 2549-3353</w:t>
    </w:r>
    <w:r>
      <w:t xml:space="preserve">  </w:t>
    </w:r>
  </w:p>
  <w:p w:rsidR="00695D96" w:rsidRDefault="00322946" w:rsidP="00322946">
    <w:pPr>
      <w:pStyle w:val="Header"/>
    </w:pPr>
    <w:r>
      <w:t xml:space="preserve">Vol 3, No. 2, </w:t>
    </w:r>
    <w:r>
      <w:rPr>
        <w:lang w:val="en-US"/>
      </w:rPr>
      <w:t>September</w:t>
    </w:r>
    <w:r>
      <w:t xml:space="preserve"> 2018, pp.</w:t>
    </w:r>
    <w:r>
      <w:rPr>
        <w:lang w:val="en-US"/>
      </w:rPr>
      <w:t>01</w:t>
    </w:r>
    <w:r>
      <w:t>-</w:t>
    </w:r>
    <w:r>
      <w:rPr>
        <w:lang w:val="en-US"/>
      </w:rPr>
      <w:t>07</w:t>
    </w:r>
    <w:r>
      <w:t xml:space="preserve">                                                                                                                       </w:t>
    </w:r>
    <w:sdt>
      <w:sdtPr>
        <w:rPr>
          <w:b/>
        </w:rPr>
        <w:id w:val="-1783725293"/>
        <w:docPartObj>
          <w:docPartGallery w:val="Page Numbers (Top of Page)"/>
          <w:docPartUnique/>
        </w:docPartObj>
      </w:sdtPr>
      <w:sdtEndPr>
        <w:rPr>
          <w:noProof/>
        </w:rPr>
      </w:sdtEndPr>
      <w:sdtContent>
        <w:r w:rsidR="00D61B7B" w:rsidRPr="00EA4545">
          <w:rPr>
            <w:b/>
          </w:rPr>
          <w:fldChar w:fldCharType="begin"/>
        </w:r>
        <w:r w:rsidR="00D61B7B" w:rsidRPr="00EA4545">
          <w:rPr>
            <w:b/>
          </w:rPr>
          <w:instrText xml:space="preserve"> PAGE   \* MERGEFORMAT </w:instrText>
        </w:r>
        <w:r w:rsidR="00D61B7B" w:rsidRPr="00EA4545">
          <w:rPr>
            <w:b/>
          </w:rPr>
          <w:fldChar w:fldCharType="separate"/>
        </w:r>
        <w:r w:rsidR="00B7331B">
          <w:rPr>
            <w:b/>
            <w:noProof/>
          </w:rPr>
          <w:t>2</w:t>
        </w:r>
        <w:r w:rsidR="00D61B7B" w:rsidRPr="00EA4545">
          <w:rPr>
            <w:b/>
            <w:noProof/>
          </w:rPr>
          <w:fldChar w:fldCharType="end"/>
        </w:r>
      </w:sdtContent>
    </w:sdt>
  </w:p>
  <w:p w:rsidR="00695D96" w:rsidRDefault="00D61B7B" w:rsidP="00695D96">
    <w:pPr>
      <w:pStyle w:val="Header"/>
    </w:pPr>
    <w:r w:rsidRPr="003132E5">
      <w:rPr>
        <w:noProof/>
        <w:lang w:val="en-US"/>
      </w:rPr>
      <mc:AlternateContent>
        <mc:Choice Requires="wps">
          <w:drawing>
            <wp:anchor distT="0" distB="0" distL="114300" distR="114300" simplePos="0" relativeHeight="251663360" behindDoc="0" locked="0" layoutInCell="1" allowOverlap="1" wp14:anchorId="01ADFC92" wp14:editId="0ABF28D6">
              <wp:simplePos x="0" y="0"/>
              <wp:positionH relativeFrom="margin">
                <wp:posOffset>0</wp:posOffset>
              </wp:positionH>
              <wp:positionV relativeFrom="paragraph">
                <wp:posOffset>-635</wp:posOffset>
              </wp:positionV>
              <wp:extent cx="5730240" cy="53340"/>
              <wp:effectExtent l="0" t="0" r="3810" b="381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F36F49" id="Rectangle 46" o:spid="_x0000_s1026" style="position:absolute;margin-left:0;margin-top:-.05pt;width:451.2pt;height:4.2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" fillcolor="#5deb1d" stroked="f" strokeweight="1pt">
              <v:fill color2="#d2ce11" rotate="t" focusposition=".5,85197f" focussize="" colors="0 #5deb1d;57672f #d2ce11" focus="100%" type="gradientRadial"/>
              <v:path arrowok="t"/>
              <w10:wrap anchorx="margin"/>
            </v:rect>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2946" w:rsidRDefault="00322946" w:rsidP="00322946">
    <w:pPr>
      <w:pStyle w:val="Header"/>
    </w:pPr>
    <w:r>
      <w:t xml:space="preserve">Jurnal </w:t>
    </w:r>
    <w:r>
      <w:rPr>
        <w:lang w:val="en-US"/>
      </w:rPr>
      <w:t>Health of Studies</w:t>
    </w:r>
    <w:r>
      <w:rPr>
        <w:lang w:val="en-US"/>
      </w:rPr>
      <w:tab/>
    </w:r>
    <w:r>
      <w:rPr>
        <w:lang w:val="en-US"/>
      </w:rPr>
      <w:tab/>
    </w:r>
    <w:r>
      <w:t xml:space="preserve">                                                          ISSN</w:t>
    </w:r>
    <w:r>
      <w:rPr>
        <w:lang w:val="en-US"/>
      </w:rPr>
      <w:t xml:space="preserve"> 2549-3353</w:t>
    </w:r>
    <w:r>
      <w:t xml:space="preserve">  </w:t>
    </w:r>
  </w:p>
  <w:p w:rsidR="003132E5" w:rsidRDefault="00322946" w:rsidP="00322946">
    <w:pPr>
      <w:pStyle w:val="Header"/>
    </w:pPr>
    <w:r>
      <w:t xml:space="preserve">Vol 3, No. 2, </w:t>
    </w:r>
    <w:r>
      <w:rPr>
        <w:lang w:val="en-US"/>
      </w:rPr>
      <w:t>September</w:t>
    </w:r>
    <w:r>
      <w:t xml:space="preserve"> 2018, pp.</w:t>
    </w:r>
    <w:r>
      <w:rPr>
        <w:lang w:val="en-US"/>
      </w:rPr>
      <w:t>01</w:t>
    </w:r>
    <w:r>
      <w:t>-</w:t>
    </w:r>
    <w:r>
      <w:rPr>
        <w:lang w:val="en-US"/>
      </w:rPr>
      <w:t>07</w:t>
    </w:r>
    <w:r>
      <w:t xml:space="preserve">                                                                                                                       </w:t>
    </w:r>
    <w:r w:rsidRPr="003132E5">
      <w:rPr>
        <w:b/>
      </w:rPr>
      <w:t xml:space="preserve">  </w:t>
    </w:r>
    <w:r w:rsidR="00D61B7B">
      <w:t xml:space="preserve">               </w:t>
    </w:r>
    <w:r w:rsidR="00D61B7B" w:rsidRPr="003132E5">
      <w:rPr>
        <w:b/>
      </w:rPr>
      <w:t xml:space="preserve">  </w:t>
    </w:r>
    <w:sdt>
      <w:sdtPr>
        <w:rPr>
          <w:b/>
        </w:rPr>
        <w:id w:val="-1090623027"/>
        <w:docPartObj>
          <w:docPartGallery w:val="Page Numbers (Top of Page)"/>
          <w:docPartUnique/>
        </w:docPartObj>
      </w:sdtPr>
      <w:sdtEndPr>
        <w:rPr>
          <w:noProof/>
        </w:rPr>
      </w:sdtEndPr>
      <w:sdtContent>
        <w:r w:rsidR="00D61B7B" w:rsidRPr="003132E5">
          <w:rPr>
            <w:b/>
          </w:rPr>
          <w:fldChar w:fldCharType="begin"/>
        </w:r>
        <w:r w:rsidR="00D61B7B" w:rsidRPr="003132E5">
          <w:rPr>
            <w:b/>
          </w:rPr>
          <w:instrText xml:space="preserve"> PAGE   \* MERGEFORMAT </w:instrText>
        </w:r>
        <w:r w:rsidR="00D61B7B" w:rsidRPr="003132E5">
          <w:rPr>
            <w:b/>
          </w:rPr>
          <w:fldChar w:fldCharType="separate"/>
        </w:r>
        <w:r w:rsidR="00B7331B">
          <w:rPr>
            <w:b/>
            <w:noProof/>
          </w:rPr>
          <w:t>1</w:t>
        </w:r>
        <w:r w:rsidR="00D61B7B" w:rsidRPr="003132E5">
          <w:rPr>
            <w:b/>
            <w:noProof/>
          </w:rPr>
          <w:fldChar w:fldCharType="end"/>
        </w:r>
      </w:sdtContent>
    </w:sdt>
  </w:p>
  <w:p w:rsidR="003132E5" w:rsidRDefault="00D61B7B" w:rsidP="003132E5">
    <w:pPr>
      <w:pStyle w:val="Header"/>
    </w:pPr>
    <w:r w:rsidRPr="003132E5">
      <w:rPr>
        <w:noProof/>
        <w:lang w:val="en-US"/>
      </w:rPr>
      <mc:AlternateContent>
        <mc:Choice Requires="wps">
          <w:drawing>
            <wp:anchor distT="0" distB="0" distL="114300" distR="114300" simplePos="0" relativeHeight="251659264" behindDoc="0" locked="0" layoutInCell="1" allowOverlap="1" wp14:anchorId="20D8ABD5" wp14:editId="3344BBE8">
              <wp:simplePos x="0" y="0"/>
              <wp:positionH relativeFrom="margin">
                <wp:posOffset>0</wp:posOffset>
              </wp:positionH>
              <wp:positionV relativeFrom="paragraph">
                <wp:posOffset>-635</wp:posOffset>
              </wp:positionV>
              <wp:extent cx="5730240" cy="53340"/>
              <wp:effectExtent l="0" t="0" r="381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5730240" cy="53340"/>
                      </a:xfrm>
                      <a:prstGeom prst="rect">
                        <a:avLst/>
                      </a:prstGeom>
                      <a:gradFill flip="none" rotWithShape="1">
                        <a:gsLst>
                          <a:gs pos="88000">
                            <a:srgbClr val="D2CE11"/>
                          </a:gs>
                          <a:gs pos="0">
                            <a:srgbClr val="5DEB1D"/>
                          </a:gs>
                        </a:gsLst>
                        <a:path path="circle">
                          <a:fillToRect l="50000" t="130000" r="50000" b="-30000"/>
                        </a:path>
                        <a:tileRect/>
                      </a:gra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C12509" id="Rectangle 4" o:spid="_x0000_s1026" style="position:absolute;margin-left:0;margin-top:-.05pt;width:451.2pt;height:4.2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" fillcolor="#5deb1d" stroked="f" strokeweight="1pt">
              <v:fill color2="#d2ce11" rotate="t" focusposition=".5,85197f" focussize="" colors="0 #5deb1d;57672f #d2ce11" focus="100%" type="gradientRadial"/>
              <v:path arrowok="t"/>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402C58"/>
    <w:multiLevelType w:val="hybridMultilevel"/>
    <w:tmpl w:val="2E028BC2"/>
    <w:lvl w:ilvl="0" w:tplc="10E0B4A8">
      <w:start w:val="1"/>
      <w:numFmt w:val="decimal"/>
      <w:pStyle w:val="figurecaption"/>
      <w:lvlText w:val="Gambar. %1."/>
      <w:lvlJc w:val="left"/>
      <w:pPr>
        <w:ind w:left="36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6CD32DA8"/>
    <w:multiLevelType w:val="singleLevel"/>
    <w:tmpl w:val="CFBAC588"/>
    <w:lvl w:ilvl="0">
      <w:start w:val="1"/>
      <w:numFmt w:val="decimal"/>
      <w:pStyle w:val="tablehead"/>
      <w:lvlText w:val="Tabel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946"/>
    <w:rsid w:val="001C5674"/>
    <w:rsid w:val="00322946"/>
    <w:rsid w:val="00A8392D"/>
    <w:rsid w:val="00B7331B"/>
    <w:rsid w:val="00D61B7B"/>
    <w:rsid w:val="00E0636A"/>
    <w:rsid w:val="00F47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624EAA-2CAC-4D4E-B558-209E4D993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331B"/>
    <w:pPr>
      <w:spacing w:after="160" w:line="256" w:lineRule="auto"/>
    </w:pPr>
    <w:rPr>
      <w:lang w:val="id-ID"/>
    </w:rPr>
  </w:style>
  <w:style w:type="paragraph" w:styleId="Heading1">
    <w:name w:val="heading 1"/>
    <w:basedOn w:val="Normal"/>
    <w:next w:val="Normal"/>
    <w:link w:val="Heading1Char"/>
    <w:uiPriority w:val="9"/>
    <w:qFormat/>
    <w:rsid w:val="00322946"/>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946"/>
    <w:rPr>
      <w:rFonts w:ascii="Times New Roman" w:eastAsiaTheme="majorEastAsia" w:hAnsi="Times New Roman" w:cstheme="majorBidi"/>
      <w:b/>
      <w:color w:val="000000" w:themeColor="text1"/>
      <w:sz w:val="24"/>
      <w:szCs w:val="32"/>
      <w:lang w:val="id-ID"/>
    </w:rPr>
  </w:style>
  <w:style w:type="paragraph" w:styleId="Header">
    <w:name w:val="header"/>
    <w:basedOn w:val="Normal"/>
    <w:link w:val="HeaderChar"/>
    <w:uiPriority w:val="99"/>
    <w:unhideWhenUsed/>
    <w:rsid w:val="00322946"/>
    <w:pPr>
      <w:tabs>
        <w:tab w:val="center" w:pos="4513"/>
        <w:tab w:val="right" w:pos="9026"/>
      </w:tabs>
      <w:spacing w:after="0" w:line="240" w:lineRule="auto"/>
    </w:pPr>
    <w:rPr>
      <w:rFonts w:ascii="Times New Roman" w:hAnsi="Times New Roman"/>
      <w:sz w:val="20"/>
    </w:rPr>
  </w:style>
  <w:style w:type="character" w:customStyle="1" w:styleId="HeaderChar">
    <w:name w:val="Header Char"/>
    <w:basedOn w:val="DefaultParagraphFont"/>
    <w:link w:val="Header"/>
    <w:uiPriority w:val="99"/>
    <w:rsid w:val="00322946"/>
    <w:rPr>
      <w:rFonts w:ascii="Times New Roman" w:hAnsi="Times New Roman"/>
      <w:sz w:val="20"/>
      <w:lang w:val="id-ID"/>
    </w:rPr>
  </w:style>
  <w:style w:type="paragraph" w:styleId="Footer">
    <w:name w:val="footer"/>
    <w:basedOn w:val="Normal"/>
    <w:link w:val="FooterChar"/>
    <w:uiPriority w:val="99"/>
    <w:unhideWhenUsed/>
    <w:rsid w:val="00322946"/>
    <w:pPr>
      <w:tabs>
        <w:tab w:val="center" w:pos="4513"/>
        <w:tab w:val="right" w:pos="9026"/>
      </w:tabs>
      <w:spacing w:after="0" w:line="240" w:lineRule="auto"/>
      <w:jc w:val="center"/>
    </w:pPr>
    <w:rPr>
      <w:rFonts w:ascii="Times New Roman" w:hAnsi="Times New Roman"/>
    </w:rPr>
  </w:style>
  <w:style w:type="character" w:customStyle="1" w:styleId="FooterChar">
    <w:name w:val="Footer Char"/>
    <w:basedOn w:val="DefaultParagraphFont"/>
    <w:link w:val="Footer"/>
    <w:uiPriority w:val="99"/>
    <w:rsid w:val="00322946"/>
    <w:rPr>
      <w:rFonts w:ascii="Times New Roman" w:hAnsi="Times New Roman"/>
      <w:lang w:val="id-ID"/>
    </w:rPr>
  </w:style>
  <w:style w:type="paragraph" w:customStyle="1" w:styleId="Titlejkk">
    <w:name w:val="Title jkk"/>
    <w:qFormat/>
    <w:rsid w:val="00322946"/>
    <w:pPr>
      <w:spacing w:after="160" w:line="259" w:lineRule="auto"/>
      <w:jc w:val="center"/>
    </w:pPr>
    <w:rPr>
      <w:rFonts w:ascii="Times New Roman" w:hAnsi="Times New Roman"/>
      <w:b/>
      <w:sz w:val="28"/>
      <w:lang w:val="id-ID"/>
    </w:rPr>
  </w:style>
  <w:style w:type="paragraph" w:customStyle="1" w:styleId="Titlejkkinggris">
    <w:name w:val="Title jkk inggris"/>
    <w:basedOn w:val="Titlejkk"/>
    <w:qFormat/>
    <w:rsid w:val="00322946"/>
    <w:rPr>
      <w:rFonts w:ascii="Palatino Linotype" w:hAnsi="Palatino Linotype"/>
    </w:rPr>
  </w:style>
  <w:style w:type="paragraph" w:customStyle="1" w:styleId="abstrakhead">
    <w:name w:val="abstrak head"/>
    <w:basedOn w:val="Titlejkkinggris"/>
    <w:qFormat/>
    <w:rsid w:val="00322946"/>
    <w:rPr>
      <w:rFonts w:ascii="Times New Roman" w:hAnsi="Times New Roman"/>
      <w:sz w:val="24"/>
    </w:rPr>
  </w:style>
  <w:style w:type="paragraph" w:customStyle="1" w:styleId="abstrakteks">
    <w:name w:val="abstrak teks"/>
    <w:qFormat/>
    <w:rsid w:val="00322946"/>
    <w:pPr>
      <w:spacing w:after="80" w:line="240" w:lineRule="auto"/>
      <w:jc w:val="both"/>
    </w:pPr>
    <w:rPr>
      <w:rFonts w:ascii="Times New Roman" w:hAnsi="Times New Roman"/>
      <w:sz w:val="24"/>
      <w:lang w:val="id-ID"/>
    </w:rPr>
  </w:style>
  <w:style w:type="paragraph" w:customStyle="1" w:styleId="artikelhistori">
    <w:name w:val="artikel histori"/>
    <w:qFormat/>
    <w:rsid w:val="00322946"/>
    <w:pPr>
      <w:spacing w:after="160" w:line="259" w:lineRule="auto"/>
      <w:jc w:val="center"/>
    </w:pPr>
    <w:rPr>
      <w:rFonts w:ascii="Times New Roman" w:hAnsi="Times New Roman"/>
      <w:sz w:val="18"/>
      <w:lang w:val="id-ID"/>
    </w:rPr>
  </w:style>
  <w:style w:type="paragraph" w:customStyle="1" w:styleId="NamaAuthor">
    <w:name w:val="Nama Author"/>
    <w:qFormat/>
    <w:rsid w:val="00322946"/>
    <w:pPr>
      <w:spacing w:after="160" w:line="259" w:lineRule="auto"/>
      <w:jc w:val="center"/>
    </w:pPr>
    <w:rPr>
      <w:rFonts w:ascii="Times New Roman" w:hAnsi="Times New Roman"/>
      <w:b/>
      <w:sz w:val="24"/>
      <w:lang w:val="id-ID"/>
    </w:rPr>
  </w:style>
  <w:style w:type="paragraph" w:customStyle="1" w:styleId="afiliasiauthor">
    <w:name w:val="afiliasi author"/>
    <w:qFormat/>
    <w:rsid w:val="00322946"/>
    <w:pPr>
      <w:spacing w:after="160" w:line="259" w:lineRule="auto"/>
      <w:jc w:val="center"/>
    </w:pPr>
    <w:rPr>
      <w:rFonts w:ascii="Times New Roman" w:hAnsi="Times New Roman"/>
      <w:sz w:val="20"/>
      <w:lang w:val="id-ID"/>
    </w:rPr>
  </w:style>
  <w:style w:type="paragraph" w:customStyle="1" w:styleId="keywords">
    <w:name w:val="keywords"/>
    <w:basedOn w:val="abstrakteks"/>
    <w:qFormat/>
    <w:rsid w:val="00322946"/>
  </w:style>
  <w:style w:type="paragraph" w:customStyle="1" w:styleId="Copyright">
    <w:name w:val="Copyright"/>
    <w:basedOn w:val="Normal"/>
    <w:qFormat/>
    <w:rsid w:val="00322946"/>
    <w:pPr>
      <w:framePr w:hSpace="187" w:wrap="around" w:vAnchor="text" w:hAnchor="text" w:y="1"/>
      <w:spacing w:after="0" w:line="200" w:lineRule="exact"/>
      <w:suppressOverlap/>
      <w:jc w:val="right"/>
    </w:pPr>
    <w:rPr>
      <w:rFonts w:ascii="Times New Roman" w:eastAsia="Times New Roman" w:hAnsi="Times New Roman" w:cs="Times New Roman"/>
      <w:sz w:val="17"/>
      <w:szCs w:val="14"/>
      <w:lang w:val="en"/>
    </w:rPr>
  </w:style>
  <w:style w:type="character" w:styleId="Hyperlink">
    <w:name w:val="Hyperlink"/>
    <w:basedOn w:val="DefaultParagraphFont"/>
    <w:uiPriority w:val="99"/>
    <w:unhideWhenUsed/>
    <w:rsid w:val="00322946"/>
    <w:rPr>
      <w:color w:val="0000FF" w:themeColor="hyperlink"/>
      <w:u w:val="single"/>
    </w:rPr>
  </w:style>
  <w:style w:type="paragraph" w:customStyle="1" w:styleId="Bodyteks">
    <w:name w:val="Body teks"/>
    <w:qFormat/>
    <w:rsid w:val="00322946"/>
    <w:pPr>
      <w:spacing w:after="160" w:line="259" w:lineRule="auto"/>
      <w:ind w:firstLine="720"/>
      <w:jc w:val="both"/>
    </w:pPr>
    <w:rPr>
      <w:rFonts w:ascii="Times New Roman" w:hAnsi="Times New Roman"/>
      <w:sz w:val="24"/>
      <w:lang w:val="id-ID"/>
    </w:rPr>
  </w:style>
  <w:style w:type="paragraph" w:customStyle="1" w:styleId="tablehead">
    <w:name w:val="table head"/>
    <w:uiPriority w:val="99"/>
    <w:rsid w:val="00322946"/>
    <w:pPr>
      <w:numPr>
        <w:numId w:val="1"/>
      </w:numPr>
      <w:spacing w:before="240" w:after="120" w:line="240" w:lineRule="auto"/>
      <w:jc w:val="center"/>
    </w:pPr>
    <w:rPr>
      <w:rFonts w:ascii="Junicode" w:eastAsia="Times New Roman" w:hAnsi="Junicode" w:cs="Times New Roman"/>
      <w:noProof/>
      <w:sz w:val="20"/>
      <w:szCs w:val="16"/>
    </w:rPr>
  </w:style>
  <w:style w:type="paragraph" w:customStyle="1" w:styleId="tablecolhead">
    <w:name w:val="table col head"/>
    <w:basedOn w:val="Normal"/>
    <w:uiPriority w:val="99"/>
    <w:rsid w:val="00322946"/>
    <w:pPr>
      <w:spacing w:after="0" w:line="240" w:lineRule="auto"/>
      <w:jc w:val="center"/>
    </w:pPr>
    <w:rPr>
      <w:rFonts w:ascii="Junicode" w:eastAsia="Times New Roman" w:hAnsi="Junicode" w:cs="Times New Roman"/>
      <w:b/>
      <w:bCs/>
      <w:sz w:val="20"/>
      <w:szCs w:val="16"/>
      <w:lang w:val="en-US"/>
    </w:rPr>
  </w:style>
  <w:style w:type="paragraph" w:customStyle="1" w:styleId="tablecolsubhead">
    <w:name w:val="table col subhead"/>
    <w:basedOn w:val="tablecolhead"/>
    <w:uiPriority w:val="99"/>
    <w:rsid w:val="00322946"/>
    <w:rPr>
      <w:i/>
      <w:iCs/>
      <w:sz w:val="19"/>
      <w:szCs w:val="15"/>
    </w:rPr>
  </w:style>
  <w:style w:type="paragraph" w:customStyle="1" w:styleId="tablecopy">
    <w:name w:val="table copy"/>
    <w:uiPriority w:val="99"/>
    <w:rsid w:val="00322946"/>
    <w:pPr>
      <w:spacing w:after="0" w:line="240" w:lineRule="auto"/>
      <w:jc w:val="center"/>
    </w:pPr>
    <w:rPr>
      <w:rFonts w:ascii="Junicode" w:eastAsia="Times New Roman" w:hAnsi="Junicode" w:cs="Times New Roman"/>
      <w:noProof/>
      <w:sz w:val="18"/>
      <w:szCs w:val="16"/>
    </w:rPr>
  </w:style>
  <w:style w:type="paragraph" w:customStyle="1" w:styleId="figurecaption">
    <w:name w:val="figure caption"/>
    <w:rsid w:val="00322946"/>
    <w:pPr>
      <w:numPr>
        <w:numId w:val="2"/>
      </w:numPr>
      <w:tabs>
        <w:tab w:val="left" w:pos="533"/>
      </w:tabs>
      <w:spacing w:before="80" w:line="240" w:lineRule="auto"/>
      <w:jc w:val="center"/>
    </w:pPr>
    <w:rPr>
      <w:rFonts w:ascii="Junicode" w:eastAsia="Times New Roman" w:hAnsi="Junicode" w:cs="Times New Roman"/>
      <w:noProof/>
      <w:sz w:val="20"/>
      <w:szCs w:val="16"/>
    </w:rPr>
  </w:style>
  <w:style w:type="paragraph" w:customStyle="1" w:styleId="references">
    <w:name w:val="references"/>
    <w:basedOn w:val="Normal"/>
    <w:qFormat/>
    <w:rsid w:val="00322946"/>
    <w:pPr>
      <w:widowControl w:val="0"/>
      <w:autoSpaceDE w:val="0"/>
      <w:autoSpaceDN w:val="0"/>
      <w:adjustRightInd w:val="0"/>
      <w:spacing w:line="240" w:lineRule="auto"/>
      <w:ind w:left="480" w:hanging="480"/>
      <w:jc w:val="both"/>
    </w:pPr>
    <w:rPr>
      <w:rFonts w:ascii="Times New Roman" w:hAnsi="Times New Roman" w:cs="Times New Roman"/>
      <w:noProof/>
      <w:sz w:val="24"/>
      <w:szCs w:val="24"/>
    </w:rPr>
  </w:style>
  <w:style w:type="paragraph" w:styleId="BalloonText">
    <w:name w:val="Balloon Text"/>
    <w:basedOn w:val="Normal"/>
    <w:link w:val="BalloonTextChar"/>
    <w:uiPriority w:val="99"/>
    <w:semiHidden/>
    <w:unhideWhenUsed/>
    <w:rsid w:val="00322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2946"/>
    <w:rPr>
      <w:rFonts w:ascii="Tahoma" w:hAnsi="Tahoma" w:cs="Tahoma"/>
      <w:sz w:val="16"/>
      <w:szCs w:val="16"/>
      <w:lang w:val="id-ID"/>
    </w:rPr>
  </w:style>
  <w:style w:type="paragraph" w:customStyle="1" w:styleId="JKKTitleIndonesia">
    <w:name w:val="JKK_Title Indonesia"/>
    <w:qFormat/>
    <w:rsid w:val="00B7331B"/>
    <w:pPr>
      <w:spacing w:after="160" w:line="256" w:lineRule="auto"/>
      <w:jc w:val="center"/>
    </w:pPr>
    <w:rPr>
      <w:rFonts w:ascii="Times New Roman" w:hAnsi="Times New Roman"/>
      <w:b/>
      <w:sz w:val="28"/>
      <w:lang w:val="id-ID"/>
    </w:rPr>
  </w:style>
  <w:style w:type="paragraph" w:customStyle="1" w:styleId="JKKAbstrakJudulIndo">
    <w:name w:val="JKK_Abstrak Judul Indo"/>
    <w:basedOn w:val="Normal"/>
    <w:qFormat/>
    <w:rsid w:val="00B7331B"/>
    <w:pPr>
      <w:spacing w:after="60" w:line="240" w:lineRule="auto"/>
      <w:jc w:val="center"/>
    </w:pPr>
    <w:rPr>
      <w:rFonts w:ascii="Times New Roman" w:hAnsi="Times New Roman"/>
      <w:b/>
      <w:sz w:val="24"/>
    </w:rPr>
  </w:style>
  <w:style w:type="paragraph" w:customStyle="1" w:styleId="JKKArticleHistory">
    <w:name w:val="JKK_Article History"/>
    <w:qFormat/>
    <w:rsid w:val="00B7331B"/>
    <w:pPr>
      <w:spacing w:before="60" w:after="60" w:line="240" w:lineRule="auto"/>
      <w:jc w:val="center"/>
    </w:pPr>
    <w:rPr>
      <w:rFonts w:ascii="Times New Roman" w:hAnsi="Times New Roman"/>
      <w:sz w:val="18"/>
      <w:lang w:val="id-ID"/>
    </w:rPr>
  </w:style>
  <w:style w:type="paragraph" w:customStyle="1" w:styleId="JKKAuthorName">
    <w:name w:val="JKK_Author Name"/>
    <w:qFormat/>
    <w:rsid w:val="00B7331B"/>
    <w:pPr>
      <w:spacing w:after="60" w:line="240" w:lineRule="auto"/>
      <w:jc w:val="center"/>
    </w:pPr>
    <w:rPr>
      <w:rFonts w:ascii="Times New Roman" w:hAnsi="Times New Roman"/>
      <w:b/>
      <w:sz w:val="24"/>
      <w:lang w:val="id-ID"/>
    </w:rPr>
  </w:style>
  <w:style w:type="paragraph" w:customStyle="1" w:styleId="JKKAuthorAfiliation">
    <w:name w:val="JKK_Author Afiliation"/>
    <w:qFormat/>
    <w:rsid w:val="00B7331B"/>
    <w:pPr>
      <w:spacing w:after="0" w:line="240" w:lineRule="auto"/>
      <w:jc w:val="center"/>
    </w:pPr>
    <w:rPr>
      <w:rFonts w:ascii="Times New Roman" w:hAnsi="Times New Roman"/>
      <w:sz w:val="20"/>
      <w:lang w:val="id-ID"/>
    </w:rPr>
  </w:style>
  <w:style w:type="paragraph" w:customStyle="1" w:styleId="JKKBodyTeks">
    <w:name w:val="JKK_Body Teks"/>
    <w:qFormat/>
    <w:rsid w:val="00B7331B"/>
    <w:pPr>
      <w:spacing w:after="0" w:line="240" w:lineRule="auto"/>
      <w:ind w:firstLine="567"/>
      <w:jc w:val="both"/>
    </w:pPr>
    <w:rPr>
      <w:rFonts w:ascii="Times New Roman" w:hAnsi="Times New Roman"/>
      <w:sz w:val="24"/>
      <w:lang w:val="id-ID"/>
    </w:rPr>
  </w:style>
  <w:style w:type="paragraph" w:customStyle="1" w:styleId="JKKReferences">
    <w:name w:val="JKK_References"/>
    <w:basedOn w:val="Normal"/>
    <w:qFormat/>
    <w:rsid w:val="00B7331B"/>
    <w:pPr>
      <w:widowControl w:val="0"/>
      <w:autoSpaceDE w:val="0"/>
      <w:autoSpaceDN w:val="0"/>
      <w:adjustRightInd w:val="0"/>
      <w:spacing w:before="120" w:after="120" w:line="240" w:lineRule="auto"/>
      <w:ind w:left="567" w:hanging="567"/>
      <w:jc w:val="both"/>
    </w:pPr>
    <w:rPr>
      <w:rFonts w:ascii="Times New Roman" w:hAnsi="Times New Roman" w:cs="Times New Roman"/>
      <w:noProof/>
      <w:sz w:val="24"/>
      <w:szCs w:val="24"/>
    </w:rPr>
  </w:style>
  <w:style w:type="paragraph" w:customStyle="1" w:styleId="JKKAbstrakBodyIndo">
    <w:name w:val="JKK_Abstrak Body Indo"/>
    <w:basedOn w:val="HTMLPreformatted"/>
    <w:qFormat/>
    <w:rsid w:val="00B73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Times New Roman" w:eastAsia="Times New Roman" w:hAnsi="Times New Roman" w:cs="Times New Roman"/>
      <w:color w:val="212121"/>
      <w:sz w:val="24"/>
      <w:szCs w:val="24"/>
    </w:rPr>
  </w:style>
  <w:style w:type="paragraph" w:customStyle="1" w:styleId="JKKAbstrakKeywordIndo">
    <w:name w:val="JKK_Abstrak Keyword Indo"/>
    <w:basedOn w:val="HTMLPreformatted"/>
    <w:qFormat/>
    <w:rsid w:val="00B73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jc w:val="both"/>
    </w:pPr>
    <w:rPr>
      <w:rFonts w:ascii="Times New Roman" w:eastAsia="Times New Roman" w:hAnsi="Times New Roman" w:cs="Times New Roman"/>
      <w:b/>
      <w:color w:val="212121"/>
      <w:sz w:val="24"/>
      <w:szCs w:val="24"/>
      <w:lang w:val="en-US"/>
    </w:rPr>
  </w:style>
  <w:style w:type="paragraph" w:customStyle="1" w:styleId="JKKTitleEnglish">
    <w:name w:val="JKK_Title English"/>
    <w:basedOn w:val="HTMLPreformatted"/>
    <w:qFormat/>
    <w:rsid w:val="00B733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rFonts w:ascii="Times New Roman" w:eastAsia="Times New Roman" w:hAnsi="Times New Roman" w:cs="Times New Roman"/>
      <w:b/>
      <w:i/>
      <w:sz w:val="28"/>
      <w:szCs w:val="28"/>
      <w:lang w:val="en-US"/>
    </w:rPr>
  </w:style>
  <w:style w:type="paragraph" w:customStyle="1" w:styleId="JKKHeading1">
    <w:name w:val="JKK_Heading 1"/>
    <w:basedOn w:val="Heading1"/>
    <w:qFormat/>
    <w:rsid w:val="00B7331B"/>
    <w:pPr>
      <w:spacing w:before="120" w:after="120" w:line="240" w:lineRule="auto"/>
      <w:jc w:val="center"/>
    </w:pPr>
  </w:style>
  <w:style w:type="paragraph" w:customStyle="1" w:styleId="JKKAbstrakJudulEnglish">
    <w:name w:val="JKK_Abstrak Judul English"/>
    <w:basedOn w:val="JKKAbstrakJudulIndo"/>
    <w:qFormat/>
    <w:rsid w:val="00B7331B"/>
    <w:pPr>
      <w:spacing w:after="0"/>
    </w:pPr>
    <w:rPr>
      <w:i/>
    </w:rPr>
  </w:style>
  <w:style w:type="paragraph" w:customStyle="1" w:styleId="JKKAbstrakBodyEnglish">
    <w:name w:val="JKK_Abstrak Body English"/>
    <w:basedOn w:val="abstrakteks"/>
    <w:qFormat/>
    <w:rsid w:val="00B7331B"/>
    <w:pPr>
      <w:spacing w:after="0"/>
    </w:pPr>
    <w:rPr>
      <w:i/>
    </w:rPr>
  </w:style>
  <w:style w:type="paragraph" w:styleId="HTMLPreformatted">
    <w:name w:val="HTML Preformatted"/>
    <w:basedOn w:val="Normal"/>
    <w:link w:val="HTMLPreformattedChar"/>
    <w:uiPriority w:val="99"/>
    <w:semiHidden/>
    <w:unhideWhenUsed/>
    <w:rsid w:val="00B7331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7331B"/>
    <w:rPr>
      <w:rFonts w:ascii="Consolas" w:hAnsi="Consolas"/>
      <w:sz w:val="20"/>
      <w:szCs w:val="20"/>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5854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header" Target="header1.xm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https://licensebuttons.net/l/by-sa/3.0/88x31.png" TargetMode="External"/><Relationship Id="rId2" Type="http://schemas.openxmlformats.org/officeDocument/2006/relationships/image" Target="media/image1.png"/><Relationship Id="rId1" Type="http://schemas.openxmlformats.org/officeDocument/2006/relationships/hyperlink" Target="http://creativecommons.org/licenses/by-sa/4.0/" TargetMode="External"/><Relationship Id="rId4" Type="http://schemas.openxmlformats.org/officeDocument/2006/relationships/hyperlink" Target="http://creativecommons.org/licenses/by-sa/4.0/" TargetMode="External"/></Relationships>
</file>

<file path=word/diagrams/colors1.xml><?xml version="1.0" encoding="utf-8"?>
<dgm:colorsDef xmlns:dgm="http://schemas.openxmlformats.org/drawingml/2006/diagram" xmlns:a="http://schemas.openxmlformats.org/drawingml/2006/main" uniqueId="urn:microsoft.com/office/officeart/2005/8/colors/accent5_3">
  <dgm:title val=""/>
  <dgm:desc val=""/>
  <dgm:catLst>
    <dgm:cat type="accent5" pri="11300"/>
  </dgm:catLst>
  <dgm:styleLbl name="node0">
    <dgm:fillClrLst meth="repeat">
      <a:schemeClr val="accent5">
        <a:shade val="80000"/>
      </a:schemeClr>
    </dgm:fillClrLst>
    <dgm:linClrLst meth="repeat">
      <a:schemeClr val="lt1"/>
    </dgm:linClrLst>
    <dgm:effectClrLst/>
    <dgm:txLinClrLst/>
    <dgm:txFillClrLst/>
    <dgm:txEffectClrLst/>
  </dgm:styleLbl>
  <dgm:styleLbl name="node1">
    <dgm:fillClrLst>
      <a:schemeClr val="accent5">
        <a:shade val="80000"/>
      </a:schemeClr>
      <a:schemeClr val="accent5">
        <a:tint val="70000"/>
      </a:schemeClr>
    </dgm:fillClrLst>
    <dgm:linClrLst meth="repeat">
      <a:schemeClr val="lt1"/>
    </dgm:linClrLst>
    <dgm:effectClrLst/>
    <dgm:txLinClrLst/>
    <dgm:txFillClrLst/>
    <dgm:txEffectClrLst/>
  </dgm:styleLbl>
  <dgm:styleLbl name="alignNode1">
    <dgm:fillClrLst>
      <a:schemeClr val="accent5">
        <a:shade val="80000"/>
      </a:schemeClr>
      <a:schemeClr val="accent5">
        <a:tint val="70000"/>
      </a:schemeClr>
    </dgm:fillClrLst>
    <dgm:linClrLst>
      <a:schemeClr val="accent5">
        <a:shade val="80000"/>
      </a:schemeClr>
      <a:schemeClr val="accent5">
        <a:tint val="70000"/>
      </a:schemeClr>
    </dgm:linClrLst>
    <dgm:effectClrLst/>
    <dgm:txLinClrLst/>
    <dgm:txFillClrLst/>
    <dgm:txEffectClrLst/>
  </dgm:styleLbl>
  <dgm:styleLbl name="lnNode1">
    <dgm:fillClrLst>
      <a:schemeClr val="accent5">
        <a:shade val="80000"/>
      </a:schemeClr>
      <a:schemeClr val="accent5">
        <a:tint val="7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tint val="70000"/>
        <a:alpha val="50000"/>
      </a:schemeClr>
    </dgm:fillClrLst>
    <dgm:linClrLst meth="repeat">
      <a:schemeClr val="lt1"/>
    </dgm:linClrLst>
    <dgm:effectClrLst/>
    <dgm:txLinClrLst/>
    <dgm:txFillClrLst/>
    <dgm:txEffectClrLst/>
  </dgm:styleLbl>
  <dgm:styleLbl name="node2">
    <dgm:fillClrLst>
      <a:schemeClr val="accent5">
        <a:tint val="99000"/>
      </a:schemeClr>
    </dgm:fillClrLst>
    <dgm:linClrLst meth="repeat">
      <a:schemeClr val="lt1"/>
    </dgm:linClrLst>
    <dgm:effectClrLst/>
    <dgm:txLinClrLst/>
    <dgm:txFillClrLst/>
    <dgm:txEffectClrLst/>
  </dgm:styleLbl>
  <dgm:styleLbl name="node3">
    <dgm:fillClrLst>
      <a:schemeClr val="accent5">
        <a:tint val="80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dgm:txEffectClrLst/>
  </dgm:styleLbl>
  <dgm:styleLbl name="f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bgSibTrans2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lt1"/>
    </dgm:txFillClrLst>
    <dgm:txEffectClrLst/>
  </dgm:styleLbl>
  <dgm:styleLbl name="sibTrans1D1">
    <dgm:fillClrLst>
      <a:schemeClr val="accent5">
        <a:shade val="90000"/>
      </a:schemeClr>
      <a:schemeClr val="accent5">
        <a:tint val="70000"/>
      </a:schemeClr>
    </dgm:fillClrLst>
    <dgm:linClrLst>
      <a:schemeClr val="accent5">
        <a:shade val="90000"/>
      </a:schemeClr>
      <a:schemeClr val="accent5">
        <a:tint val="7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9000"/>
      </a:schemeClr>
    </dgm:fillClrLst>
    <dgm:linClrLst meth="repeat">
      <a:schemeClr val="lt1"/>
    </dgm:linClrLst>
    <dgm:effectClrLst/>
    <dgm:txLinClrLst/>
    <dgm:txFillClrLst/>
    <dgm:txEffectClrLst/>
  </dgm:styleLbl>
  <dgm:styleLbl name="asst3">
    <dgm:fillClrLst>
      <a:schemeClr val="accent5">
        <a:tint val="80000"/>
      </a:schemeClr>
    </dgm:fillClrLst>
    <dgm:linClrLst meth="repeat">
      <a:schemeClr val="lt1"/>
    </dgm:linClrLst>
    <dgm:effectClrLst/>
    <dgm:txLinClrLst/>
    <dgm:txFillClrLst/>
    <dgm:txEffectClrLst/>
  </dgm:styleLbl>
  <dgm:styleLbl name="asst4">
    <dgm:fillClrLst>
      <a:schemeClr val="accent5">
        <a:tint val="7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lt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9000"/>
      </a:schemeClr>
    </dgm:fillClrLst>
    <dgm:linClrLst meth="repeat">
      <a:schemeClr val="accent5">
        <a:tint val="99000"/>
      </a:schemeClr>
    </dgm:linClrLst>
    <dgm:effectClrLst/>
    <dgm:txLinClrLst/>
    <dgm:txFillClrLst meth="repeat">
      <a:schemeClr val="tx1"/>
    </dgm:txFillClrLst>
    <dgm:txEffectClrLst/>
  </dgm:styleLbl>
  <dgm:styleLbl name="parChTrans1D3">
    <dgm:fillClrLst meth="repeat">
      <a:schemeClr val="accent5">
        <a:tint val="80000"/>
      </a:schemeClr>
    </dgm:fillClrLst>
    <dgm:linClrLst meth="repeat">
      <a:schemeClr val="accent5">
        <a:tint val="80000"/>
      </a:schemeClr>
    </dgm:linClrLst>
    <dgm:effectClrLst/>
    <dgm:txLinClrLst/>
    <dgm:txFillClrLst meth="repeat">
      <a:schemeClr val="tx1"/>
    </dgm:txFillClrLst>
    <dgm:txEffectClrLst/>
  </dgm:styleLbl>
  <dgm:styleLbl name="parChTrans1D4">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5">
        <a:shade val="80000"/>
      </a:schemeClr>
      <a:schemeClr val="accent5">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4F1663D-EED7-4CF0-958F-596D3FDCFC4F}" type="doc">
      <dgm:prSet loTypeId="urn:microsoft.com/office/officeart/2005/8/layout/hierarchy3" loCatId="hierarchy" qsTypeId="urn:microsoft.com/office/officeart/2005/8/quickstyle/simple1" qsCatId="simple" csTypeId="urn:microsoft.com/office/officeart/2005/8/colors/accent5_3" csCatId="accent5" phldr="1"/>
      <dgm:spPr/>
      <dgm:t>
        <a:bodyPr/>
        <a:lstStyle/>
        <a:p>
          <a:endParaRPr lang="en-US"/>
        </a:p>
      </dgm:t>
    </dgm:pt>
    <dgm:pt modelId="{3A00C180-AE5E-415A-BD7B-00167AAD8275}">
      <dgm:prSet phldrT="[Text]"/>
      <dgm:spPr>
        <a:solidFill>
          <a:srgbClr val="0070C0"/>
        </a:solidFill>
      </dgm:spPr>
      <dgm:t>
        <a:bodyPr/>
        <a:lstStyle/>
        <a:p>
          <a:r>
            <a:rPr lang="en-US"/>
            <a:t>Pra Bencana</a:t>
          </a:r>
        </a:p>
      </dgm:t>
    </dgm:pt>
    <dgm:pt modelId="{4A48E557-65F2-476A-B07B-B2E7C8684068}" type="parTrans" cxnId="{7815084F-869C-485D-867F-D36B5B38FE9A}">
      <dgm:prSet/>
      <dgm:spPr/>
      <dgm:t>
        <a:bodyPr/>
        <a:lstStyle/>
        <a:p>
          <a:endParaRPr lang="en-US"/>
        </a:p>
      </dgm:t>
    </dgm:pt>
    <dgm:pt modelId="{A1EC71FB-A6DC-4B64-9215-447C6708313C}" type="sibTrans" cxnId="{7815084F-869C-485D-867F-D36B5B38FE9A}">
      <dgm:prSet/>
      <dgm:spPr/>
      <dgm:t>
        <a:bodyPr/>
        <a:lstStyle/>
        <a:p>
          <a:endParaRPr lang="en-US"/>
        </a:p>
      </dgm:t>
    </dgm:pt>
    <dgm:pt modelId="{C7477A0A-7E9C-45CC-952C-988EF05E0B21}">
      <dgm:prSet phldrT="[Text]"/>
      <dgm:spPr/>
      <dgm:t>
        <a:bodyPr/>
        <a:lstStyle/>
        <a:p>
          <a:r>
            <a:rPr lang="en-US"/>
            <a:t>penyuluhan dan sosialisasi</a:t>
          </a:r>
        </a:p>
      </dgm:t>
    </dgm:pt>
    <dgm:pt modelId="{1FD08229-AF54-4C36-9282-661ADAA488CA}" type="parTrans" cxnId="{D51CCD6E-14D7-4D09-9B6F-5E26F9E54E65}">
      <dgm:prSet/>
      <dgm:spPr/>
      <dgm:t>
        <a:bodyPr/>
        <a:lstStyle/>
        <a:p>
          <a:endParaRPr lang="en-US"/>
        </a:p>
      </dgm:t>
    </dgm:pt>
    <dgm:pt modelId="{D7522DBE-939B-45F7-AD41-0A1B0093097F}" type="sibTrans" cxnId="{D51CCD6E-14D7-4D09-9B6F-5E26F9E54E65}">
      <dgm:prSet/>
      <dgm:spPr/>
      <dgm:t>
        <a:bodyPr/>
        <a:lstStyle/>
        <a:p>
          <a:endParaRPr lang="en-US"/>
        </a:p>
      </dgm:t>
    </dgm:pt>
    <dgm:pt modelId="{4FD5BDA3-0785-4584-B03F-264B39034BFF}">
      <dgm:prSet phldrT="[Text]"/>
      <dgm:spPr/>
      <dgm:t>
        <a:bodyPr/>
        <a:lstStyle/>
        <a:p>
          <a:r>
            <a:rPr lang="en-US"/>
            <a:t>pembentukan komunitas mangrove</a:t>
          </a:r>
        </a:p>
      </dgm:t>
    </dgm:pt>
    <dgm:pt modelId="{92E6E0BD-7302-4B41-889F-663238660C27}" type="parTrans" cxnId="{8A2D3A22-743F-48F2-8CB2-5F9068D0A4DF}">
      <dgm:prSet/>
      <dgm:spPr/>
      <dgm:t>
        <a:bodyPr/>
        <a:lstStyle/>
        <a:p>
          <a:endParaRPr lang="en-US"/>
        </a:p>
      </dgm:t>
    </dgm:pt>
    <dgm:pt modelId="{B7F28AA3-D6E0-4592-80C4-2BC88C6A3071}" type="sibTrans" cxnId="{8A2D3A22-743F-48F2-8CB2-5F9068D0A4DF}">
      <dgm:prSet/>
      <dgm:spPr/>
      <dgm:t>
        <a:bodyPr/>
        <a:lstStyle/>
        <a:p>
          <a:endParaRPr lang="en-US"/>
        </a:p>
      </dgm:t>
    </dgm:pt>
    <dgm:pt modelId="{AF02153B-F4F5-4F4C-87AE-4F748AC5F725}">
      <dgm:prSet phldrT="[Text]"/>
      <dgm:spPr>
        <a:solidFill>
          <a:srgbClr val="0070C0"/>
        </a:solidFill>
      </dgm:spPr>
      <dgm:t>
        <a:bodyPr/>
        <a:lstStyle/>
        <a:p>
          <a:r>
            <a:rPr lang="en-US"/>
            <a:t>Tanggap Darurat</a:t>
          </a:r>
        </a:p>
      </dgm:t>
    </dgm:pt>
    <dgm:pt modelId="{41178497-3476-4765-AC9A-D9ED348E4664}" type="parTrans" cxnId="{352523D1-2188-4153-B555-CE2FA806EDC4}">
      <dgm:prSet/>
      <dgm:spPr/>
      <dgm:t>
        <a:bodyPr/>
        <a:lstStyle/>
        <a:p>
          <a:endParaRPr lang="en-US"/>
        </a:p>
      </dgm:t>
    </dgm:pt>
    <dgm:pt modelId="{8B9E3C1A-1278-44DA-B253-3600A4F2F54E}" type="sibTrans" cxnId="{352523D1-2188-4153-B555-CE2FA806EDC4}">
      <dgm:prSet/>
      <dgm:spPr/>
      <dgm:t>
        <a:bodyPr/>
        <a:lstStyle/>
        <a:p>
          <a:endParaRPr lang="en-US"/>
        </a:p>
      </dgm:t>
    </dgm:pt>
    <dgm:pt modelId="{D5F05DE9-310A-4D1D-B122-038334CC4018}">
      <dgm:prSet phldrT="[Text]"/>
      <dgm:spPr/>
      <dgm:t>
        <a:bodyPr/>
        <a:lstStyle/>
        <a:p>
          <a:r>
            <a:rPr lang="en-US"/>
            <a:t>tindakan medis</a:t>
          </a:r>
        </a:p>
      </dgm:t>
    </dgm:pt>
    <dgm:pt modelId="{437A101C-8DC0-4E8B-B64A-E4BD6731EF0A}" type="parTrans" cxnId="{DD6E3D6F-78FA-41AC-820D-A5C0548BD0A9}">
      <dgm:prSet/>
      <dgm:spPr/>
      <dgm:t>
        <a:bodyPr/>
        <a:lstStyle/>
        <a:p>
          <a:endParaRPr lang="en-US"/>
        </a:p>
      </dgm:t>
    </dgm:pt>
    <dgm:pt modelId="{2EBA7232-3FE8-4CB3-9BFC-10493CF50C2F}" type="sibTrans" cxnId="{DD6E3D6F-78FA-41AC-820D-A5C0548BD0A9}">
      <dgm:prSet/>
      <dgm:spPr/>
      <dgm:t>
        <a:bodyPr/>
        <a:lstStyle/>
        <a:p>
          <a:endParaRPr lang="en-US"/>
        </a:p>
      </dgm:t>
    </dgm:pt>
    <dgm:pt modelId="{88254F01-FCED-4CE6-81F5-E1F300D1F61C}">
      <dgm:prSet phldrT="[Text]"/>
      <dgm:spPr/>
      <dgm:t>
        <a:bodyPr/>
        <a:lstStyle/>
        <a:p>
          <a:r>
            <a:rPr lang="en-US"/>
            <a:t>perawatan</a:t>
          </a:r>
        </a:p>
      </dgm:t>
    </dgm:pt>
    <dgm:pt modelId="{B5BBAAED-8BE5-4BAF-B6AB-27A2F9F6F940}" type="parTrans" cxnId="{927E998E-8EE2-41DE-AAA9-ACD0E19659BC}">
      <dgm:prSet/>
      <dgm:spPr/>
      <dgm:t>
        <a:bodyPr/>
        <a:lstStyle/>
        <a:p>
          <a:endParaRPr lang="en-US"/>
        </a:p>
      </dgm:t>
    </dgm:pt>
    <dgm:pt modelId="{2F6E934F-5515-45EA-BCEB-5D24C0447F14}" type="sibTrans" cxnId="{927E998E-8EE2-41DE-AAA9-ACD0E19659BC}">
      <dgm:prSet/>
      <dgm:spPr/>
      <dgm:t>
        <a:bodyPr/>
        <a:lstStyle/>
        <a:p>
          <a:endParaRPr lang="en-US"/>
        </a:p>
      </dgm:t>
    </dgm:pt>
    <dgm:pt modelId="{9AAFD44A-BF29-4D9E-8F8B-BC5D8FE09586}">
      <dgm:prSet phldrT="[Text]"/>
      <dgm:spPr>
        <a:solidFill>
          <a:srgbClr val="0070C0"/>
        </a:solidFill>
      </dgm:spPr>
      <dgm:t>
        <a:bodyPr/>
        <a:lstStyle/>
        <a:p>
          <a:r>
            <a:rPr lang="en-US"/>
            <a:t>Pasca Bencana</a:t>
          </a:r>
        </a:p>
      </dgm:t>
    </dgm:pt>
    <dgm:pt modelId="{638D02F3-9020-4B0A-9F03-799EF256F380}" type="parTrans" cxnId="{F953F14B-7CCA-4BC3-BD17-AA01DEFE856A}">
      <dgm:prSet/>
      <dgm:spPr/>
      <dgm:t>
        <a:bodyPr/>
        <a:lstStyle/>
        <a:p>
          <a:endParaRPr lang="en-US"/>
        </a:p>
      </dgm:t>
    </dgm:pt>
    <dgm:pt modelId="{EEA8F867-3630-4A4E-B4C0-68FB33F21EE1}" type="sibTrans" cxnId="{F953F14B-7CCA-4BC3-BD17-AA01DEFE856A}">
      <dgm:prSet/>
      <dgm:spPr/>
      <dgm:t>
        <a:bodyPr/>
        <a:lstStyle/>
        <a:p>
          <a:endParaRPr lang="en-US"/>
        </a:p>
      </dgm:t>
    </dgm:pt>
    <dgm:pt modelId="{330EA946-7E4C-408F-84C7-E4DA1C1DAB49}">
      <dgm:prSet phldrT="[Text]"/>
      <dgm:spPr/>
      <dgm:t>
        <a:bodyPr/>
        <a:lstStyle/>
        <a:p>
          <a:r>
            <a:rPr lang="en-US"/>
            <a:t>perawatan lanjutan</a:t>
          </a:r>
        </a:p>
      </dgm:t>
    </dgm:pt>
    <dgm:pt modelId="{F95F23F2-FF84-4470-8B73-69379C9B6354}" type="parTrans" cxnId="{F14ED0EB-5E55-4B9B-B7CF-4079D78EE50E}">
      <dgm:prSet/>
      <dgm:spPr/>
      <dgm:t>
        <a:bodyPr/>
        <a:lstStyle/>
        <a:p>
          <a:endParaRPr lang="en-US"/>
        </a:p>
      </dgm:t>
    </dgm:pt>
    <dgm:pt modelId="{CD6D563B-D5BC-4CB3-9DAC-1BE65A10E695}" type="sibTrans" cxnId="{F14ED0EB-5E55-4B9B-B7CF-4079D78EE50E}">
      <dgm:prSet/>
      <dgm:spPr/>
      <dgm:t>
        <a:bodyPr/>
        <a:lstStyle/>
        <a:p>
          <a:endParaRPr lang="en-US"/>
        </a:p>
      </dgm:t>
    </dgm:pt>
    <dgm:pt modelId="{D528AEC3-8433-4F46-A574-69F11D14E2EB}">
      <dgm:prSet phldrT="[Text]"/>
      <dgm:spPr/>
      <dgm:t>
        <a:bodyPr/>
        <a:lstStyle/>
        <a:p>
          <a:r>
            <a:rPr lang="en-US"/>
            <a:t>komunikasi dengan pembuat kebijakan</a:t>
          </a:r>
        </a:p>
      </dgm:t>
    </dgm:pt>
    <dgm:pt modelId="{C4F99D7D-0D48-4540-B3D6-D1C99F76FE95}" type="parTrans" cxnId="{32ADF71C-3FA5-4532-8851-02EB07BF0736}">
      <dgm:prSet/>
      <dgm:spPr/>
      <dgm:t>
        <a:bodyPr/>
        <a:lstStyle/>
        <a:p>
          <a:endParaRPr lang="en-US"/>
        </a:p>
      </dgm:t>
    </dgm:pt>
    <dgm:pt modelId="{4339E63E-DB07-4577-A6F2-6EA0B59AF554}" type="sibTrans" cxnId="{32ADF71C-3FA5-4532-8851-02EB07BF0736}">
      <dgm:prSet/>
      <dgm:spPr/>
      <dgm:t>
        <a:bodyPr/>
        <a:lstStyle/>
        <a:p>
          <a:endParaRPr lang="en-US"/>
        </a:p>
      </dgm:t>
    </dgm:pt>
    <dgm:pt modelId="{F9E3DC4D-38DD-4F95-9D50-45CCB225BDEB}" type="pres">
      <dgm:prSet presAssocID="{F4F1663D-EED7-4CF0-958F-596D3FDCFC4F}" presName="diagram" presStyleCnt="0">
        <dgm:presLayoutVars>
          <dgm:chPref val="1"/>
          <dgm:dir/>
          <dgm:animOne val="branch"/>
          <dgm:animLvl val="lvl"/>
          <dgm:resizeHandles/>
        </dgm:presLayoutVars>
      </dgm:prSet>
      <dgm:spPr/>
      <dgm:t>
        <a:bodyPr/>
        <a:lstStyle/>
        <a:p>
          <a:endParaRPr lang="en-US"/>
        </a:p>
      </dgm:t>
    </dgm:pt>
    <dgm:pt modelId="{C7951AAB-46DD-479B-8024-5181B25CAE6D}" type="pres">
      <dgm:prSet presAssocID="{3A00C180-AE5E-415A-BD7B-00167AAD8275}" presName="root" presStyleCnt="0"/>
      <dgm:spPr/>
    </dgm:pt>
    <dgm:pt modelId="{8D1CA913-CCD4-4812-B718-B95702C1B37F}" type="pres">
      <dgm:prSet presAssocID="{3A00C180-AE5E-415A-BD7B-00167AAD8275}" presName="rootComposite" presStyleCnt="0"/>
      <dgm:spPr/>
    </dgm:pt>
    <dgm:pt modelId="{7DDAA545-0161-4000-8023-B207C6D5D39B}" type="pres">
      <dgm:prSet presAssocID="{3A00C180-AE5E-415A-BD7B-00167AAD8275}" presName="rootText" presStyleLbl="node1" presStyleIdx="0" presStyleCnt="3"/>
      <dgm:spPr/>
      <dgm:t>
        <a:bodyPr/>
        <a:lstStyle/>
        <a:p>
          <a:endParaRPr lang="en-US"/>
        </a:p>
      </dgm:t>
    </dgm:pt>
    <dgm:pt modelId="{9546F0F3-F797-48E6-90A3-B388803AC305}" type="pres">
      <dgm:prSet presAssocID="{3A00C180-AE5E-415A-BD7B-00167AAD8275}" presName="rootConnector" presStyleLbl="node1" presStyleIdx="0" presStyleCnt="3"/>
      <dgm:spPr/>
      <dgm:t>
        <a:bodyPr/>
        <a:lstStyle/>
        <a:p>
          <a:endParaRPr lang="en-US"/>
        </a:p>
      </dgm:t>
    </dgm:pt>
    <dgm:pt modelId="{747C0820-571B-4626-820A-0009700134C8}" type="pres">
      <dgm:prSet presAssocID="{3A00C180-AE5E-415A-BD7B-00167AAD8275}" presName="childShape" presStyleCnt="0"/>
      <dgm:spPr/>
    </dgm:pt>
    <dgm:pt modelId="{C65E178F-5373-4E96-A2B7-93A83C64E010}" type="pres">
      <dgm:prSet presAssocID="{1FD08229-AF54-4C36-9282-661ADAA488CA}" presName="Name13" presStyleLbl="parChTrans1D2" presStyleIdx="0" presStyleCnt="6"/>
      <dgm:spPr/>
      <dgm:t>
        <a:bodyPr/>
        <a:lstStyle/>
        <a:p>
          <a:endParaRPr lang="en-US"/>
        </a:p>
      </dgm:t>
    </dgm:pt>
    <dgm:pt modelId="{2E5C34D9-C4B7-4BF2-AE76-743A393711D3}" type="pres">
      <dgm:prSet presAssocID="{C7477A0A-7E9C-45CC-952C-988EF05E0B21}" presName="childText" presStyleLbl="bgAcc1" presStyleIdx="0" presStyleCnt="6">
        <dgm:presLayoutVars>
          <dgm:bulletEnabled val="1"/>
        </dgm:presLayoutVars>
      </dgm:prSet>
      <dgm:spPr/>
      <dgm:t>
        <a:bodyPr/>
        <a:lstStyle/>
        <a:p>
          <a:endParaRPr lang="en-US"/>
        </a:p>
      </dgm:t>
    </dgm:pt>
    <dgm:pt modelId="{32D03615-A1A7-4658-AF62-DCCD2DD90155}" type="pres">
      <dgm:prSet presAssocID="{92E6E0BD-7302-4B41-889F-663238660C27}" presName="Name13" presStyleLbl="parChTrans1D2" presStyleIdx="1" presStyleCnt="6"/>
      <dgm:spPr/>
      <dgm:t>
        <a:bodyPr/>
        <a:lstStyle/>
        <a:p>
          <a:endParaRPr lang="en-US"/>
        </a:p>
      </dgm:t>
    </dgm:pt>
    <dgm:pt modelId="{2425987B-3879-4F99-9DDB-3395456CEB7B}" type="pres">
      <dgm:prSet presAssocID="{4FD5BDA3-0785-4584-B03F-264B39034BFF}" presName="childText" presStyleLbl="bgAcc1" presStyleIdx="1" presStyleCnt="6">
        <dgm:presLayoutVars>
          <dgm:bulletEnabled val="1"/>
        </dgm:presLayoutVars>
      </dgm:prSet>
      <dgm:spPr/>
      <dgm:t>
        <a:bodyPr/>
        <a:lstStyle/>
        <a:p>
          <a:endParaRPr lang="en-US"/>
        </a:p>
      </dgm:t>
    </dgm:pt>
    <dgm:pt modelId="{E6F9EB7C-8DEA-4F71-B625-B520A05911C4}" type="pres">
      <dgm:prSet presAssocID="{C4F99D7D-0D48-4540-B3D6-D1C99F76FE95}" presName="Name13" presStyleLbl="parChTrans1D2" presStyleIdx="2" presStyleCnt="6"/>
      <dgm:spPr/>
      <dgm:t>
        <a:bodyPr/>
        <a:lstStyle/>
        <a:p>
          <a:endParaRPr lang="en-US"/>
        </a:p>
      </dgm:t>
    </dgm:pt>
    <dgm:pt modelId="{91373B7D-F74F-49EA-BA2B-F022B06E4A55}" type="pres">
      <dgm:prSet presAssocID="{D528AEC3-8433-4F46-A574-69F11D14E2EB}" presName="childText" presStyleLbl="bgAcc1" presStyleIdx="2" presStyleCnt="6">
        <dgm:presLayoutVars>
          <dgm:bulletEnabled val="1"/>
        </dgm:presLayoutVars>
      </dgm:prSet>
      <dgm:spPr/>
      <dgm:t>
        <a:bodyPr/>
        <a:lstStyle/>
        <a:p>
          <a:endParaRPr lang="en-US"/>
        </a:p>
      </dgm:t>
    </dgm:pt>
    <dgm:pt modelId="{96085365-7011-4325-8C68-ECC6A613C19B}" type="pres">
      <dgm:prSet presAssocID="{AF02153B-F4F5-4F4C-87AE-4F748AC5F725}" presName="root" presStyleCnt="0"/>
      <dgm:spPr/>
    </dgm:pt>
    <dgm:pt modelId="{51C1CBA4-08C2-4C3D-811F-8B76C254DCFD}" type="pres">
      <dgm:prSet presAssocID="{AF02153B-F4F5-4F4C-87AE-4F748AC5F725}" presName="rootComposite" presStyleCnt="0"/>
      <dgm:spPr/>
    </dgm:pt>
    <dgm:pt modelId="{9D00754A-108C-4837-AFB9-49E119A0A90B}" type="pres">
      <dgm:prSet presAssocID="{AF02153B-F4F5-4F4C-87AE-4F748AC5F725}" presName="rootText" presStyleLbl="node1" presStyleIdx="1" presStyleCnt="3"/>
      <dgm:spPr/>
      <dgm:t>
        <a:bodyPr/>
        <a:lstStyle/>
        <a:p>
          <a:endParaRPr lang="en-US"/>
        </a:p>
      </dgm:t>
    </dgm:pt>
    <dgm:pt modelId="{E2A023EA-B0DC-43E1-B373-A1B0F9E3AB5F}" type="pres">
      <dgm:prSet presAssocID="{AF02153B-F4F5-4F4C-87AE-4F748AC5F725}" presName="rootConnector" presStyleLbl="node1" presStyleIdx="1" presStyleCnt="3"/>
      <dgm:spPr/>
      <dgm:t>
        <a:bodyPr/>
        <a:lstStyle/>
        <a:p>
          <a:endParaRPr lang="en-US"/>
        </a:p>
      </dgm:t>
    </dgm:pt>
    <dgm:pt modelId="{E9B03F93-719F-4FA1-A5FD-F92F4A0DC320}" type="pres">
      <dgm:prSet presAssocID="{AF02153B-F4F5-4F4C-87AE-4F748AC5F725}" presName="childShape" presStyleCnt="0"/>
      <dgm:spPr/>
    </dgm:pt>
    <dgm:pt modelId="{22C27918-1939-4676-B08A-AC913E503669}" type="pres">
      <dgm:prSet presAssocID="{437A101C-8DC0-4E8B-B64A-E4BD6731EF0A}" presName="Name13" presStyleLbl="parChTrans1D2" presStyleIdx="3" presStyleCnt="6"/>
      <dgm:spPr/>
      <dgm:t>
        <a:bodyPr/>
        <a:lstStyle/>
        <a:p>
          <a:endParaRPr lang="en-US"/>
        </a:p>
      </dgm:t>
    </dgm:pt>
    <dgm:pt modelId="{3860400F-B4DF-43C2-9052-1D6011DFD6BF}" type="pres">
      <dgm:prSet presAssocID="{D5F05DE9-310A-4D1D-B122-038334CC4018}" presName="childText" presStyleLbl="bgAcc1" presStyleIdx="3" presStyleCnt="6">
        <dgm:presLayoutVars>
          <dgm:bulletEnabled val="1"/>
        </dgm:presLayoutVars>
      </dgm:prSet>
      <dgm:spPr/>
      <dgm:t>
        <a:bodyPr/>
        <a:lstStyle/>
        <a:p>
          <a:endParaRPr lang="en-US"/>
        </a:p>
      </dgm:t>
    </dgm:pt>
    <dgm:pt modelId="{44028764-467A-4BE0-ACA5-D46F5E4D527F}" type="pres">
      <dgm:prSet presAssocID="{B5BBAAED-8BE5-4BAF-B6AB-27A2F9F6F940}" presName="Name13" presStyleLbl="parChTrans1D2" presStyleIdx="4" presStyleCnt="6"/>
      <dgm:spPr/>
      <dgm:t>
        <a:bodyPr/>
        <a:lstStyle/>
        <a:p>
          <a:endParaRPr lang="en-US"/>
        </a:p>
      </dgm:t>
    </dgm:pt>
    <dgm:pt modelId="{DBFD9F65-31BE-4A69-8C0A-F6C3D26E44ED}" type="pres">
      <dgm:prSet presAssocID="{88254F01-FCED-4CE6-81F5-E1F300D1F61C}" presName="childText" presStyleLbl="bgAcc1" presStyleIdx="4" presStyleCnt="6">
        <dgm:presLayoutVars>
          <dgm:bulletEnabled val="1"/>
        </dgm:presLayoutVars>
      </dgm:prSet>
      <dgm:spPr/>
      <dgm:t>
        <a:bodyPr/>
        <a:lstStyle/>
        <a:p>
          <a:endParaRPr lang="en-US"/>
        </a:p>
      </dgm:t>
    </dgm:pt>
    <dgm:pt modelId="{68153778-B5F8-4A1D-A432-F8E5ADE3D3DF}" type="pres">
      <dgm:prSet presAssocID="{9AAFD44A-BF29-4D9E-8F8B-BC5D8FE09586}" presName="root" presStyleCnt="0"/>
      <dgm:spPr/>
    </dgm:pt>
    <dgm:pt modelId="{5D75537C-8E18-419D-8F2C-3ACC8ED2D11B}" type="pres">
      <dgm:prSet presAssocID="{9AAFD44A-BF29-4D9E-8F8B-BC5D8FE09586}" presName="rootComposite" presStyleCnt="0"/>
      <dgm:spPr/>
    </dgm:pt>
    <dgm:pt modelId="{D5669CEF-6766-4CAC-8911-F5BDC93EA2DE}" type="pres">
      <dgm:prSet presAssocID="{9AAFD44A-BF29-4D9E-8F8B-BC5D8FE09586}" presName="rootText" presStyleLbl="node1" presStyleIdx="2" presStyleCnt="3"/>
      <dgm:spPr/>
      <dgm:t>
        <a:bodyPr/>
        <a:lstStyle/>
        <a:p>
          <a:endParaRPr lang="en-US"/>
        </a:p>
      </dgm:t>
    </dgm:pt>
    <dgm:pt modelId="{C0556B54-5991-4480-B506-1F8042B300B5}" type="pres">
      <dgm:prSet presAssocID="{9AAFD44A-BF29-4D9E-8F8B-BC5D8FE09586}" presName="rootConnector" presStyleLbl="node1" presStyleIdx="2" presStyleCnt="3"/>
      <dgm:spPr/>
      <dgm:t>
        <a:bodyPr/>
        <a:lstStyle/>
        <a:p>
          <a:endParaRPr lang="en-US"/>
        </a:p>
      </dgm:t>
    </dgm:pt>
    <dgm:pt modelId="{163CB8D5-70C3-461C-9C45-2D95F630C3FA}" type="pres">
      <dgm:prSet presAssocID="{9AAFD44A-BF29-4D9E-8F8B-BC5D8FE09586}" presName="childShape" presStyleCnt="0"/>
      <dgm:spPr/>
    </dgm:pt>
    <dgm:pt modelId="{D37B26F7-C157-44D9-96E9-5EA17A7E72CA}" type="pres">
      <dgm:prSet presAssocID="{F95F23F2-FF84-4470-8B73-69379C9B6354}" presName="Name13" presStyleLbl="parChTrans1D2" presStyleIdx="5" presStyleCnt="6"/>
      <dgm:spPr/>
      <dgm:t>
        <a:bodyPr/>
        <a:lstStyle/>
        <a:p>
          <a:endParaRPr lang="en-US"/>
        </a:p>
      </dgm:t>
    </dgm:pt>
    <dgm:pt modelId="{0A9E84F2-FD42-4E09-A05C-801F563819D8}" type="pres">
      <dgm:prSet presAssocID="{330EA946-7E4C-408F-84C7-E4DA1C1DAB49}" presName="childText" presStyleLbl="bgAcc1" presStyleIdx="5" presStyleCnt="6">
        <dgm:presLayoutVars>
          <dgm:bulletEnabled val="1"/>
        </dgm:presLayoutVars>
      </dgm:prSet>
      <dgm:spPr/>
      <dgm:t>
        <a:bodyPr/>
        <a:lstStyle/>
        <a:p>
          <a:endParaRPr lang="en-US"/>
        </a:p>
      </dgm:t>
    </dgm:pt>
  </dgm:ptLst>
  <dgm:cxnLst>
    <dgm:cxn modelId="{F953F14B-7CCA-4BC3-BD17-AA01DEFE856A}" srcId="{F4F1663D-EED7-4CF0-958F-596D3FDCFC4F}" destId="{9AAFD44A-BF29-4D9E-8F8B-BC5D8FE09586}" srcOrd="2" destOrd="0" parTransId="{638D02F3-9020-4B0A-9F03-799EF256F380}" sibTransId="{EEA8F867-3630-4A4E-B4C0-68FB33F21EE1}"/>
    <dgm:cxn modelId="{64CB6FC4-DD5C-495D-B2A5-F88F574BB503}" type="presOf" srcId="{330EA946-7E4C-408F-84C7-E4DA1C1DAB49}" destId="{0A9E84F2-FD42-4E09-A05C-801F563819D8}" srcOrd="0" destOrd="0" presId="urn:microsoft.com/office/officeart/2005/8/layout/hierarchy3"/>
    <dgm:cxn modelId="{4F6C69C0-86C7-4243-B658-AAC5A0ED18AD}" type="presOf" srcId="{B5BBAAED-8BE5-4BAF-B6AB-27A2F9F6F940}" destId="{44028764-467A-4BE0-ACA5-D46F5E4D527F}" srcOrd="0" destOrd="0" presId="urn:microsoft.com/office/officeart/2005/8/layout/hierarchy3"/>
    <dgm:cxn modelId="{290E742F-B6A0-4A80-856B-6D9B64424C1B}" type="presOf" srcId="{1FD08229-AF54-4C36-9282-661ADAA488CA}" destId="{C65E178F-5373-4E96-A2B7-93A83C64E010}" srcOrd="0" destOrd="0" presId="urn:microsoft.com/office/officeart/2005/8/layout/hierarchy3"/>
    <dgm:cxn modelId="{658B2378-FF13-4548-9A0B-991BB1651EFF}" type="presOf" srcId="{9AAFD44A-BF29-4D9E-8F8B-BC5D8FE09586}" destId="{C0556B54-5991-4480-B506-1F8042B300B5}" srcOrd="1" destOrd="0" presId="urn:microsoft.com/office/officeart/2005/8/layout/hierarchy3"/>
    <dgm:cxn modelId="{DB40DE10-8557-4493-9B67-DFC46215453B}" type="presOf" srcId="{3A00C180-AE5E-415A-BD7B-00167AAD8275}" destId="{7DDAA545-0161-4000-8023-B207C6D5D39B}" srcOrd="0" destOrd="0" presId="urn:microsoft.com/office/officeart/2005/8/layout/hierarchy3"/>
    <dgm:cxn modelId="{6AB01F69-4819-44EF-B628-58AD72103B19}" type="presOf" srcId="{4FD5BDA3-0785-4584-B03F-264B39034BFF}" destId="{2425987B-3879-4F99-9DDB-3395456CEB7B}" srcOrd="0" destOrd="0" presId="urn:microsoft.com/office/officeart/2005/8/layout/hierarchy3"/>
    <dgm:cxn modelId="{98C830E1-D5B0-427E-BC7F-D78E49D39804}" type="presOf" srcId="{AF02153B-F4F5-4F4C-87AE-4F748AC5F725}" destId="{E2A023EA-B0DC-43E1-B373-A1B0F9E3AB5F}" srcOrd="1" destOrd="0" presId="urn:microsoft.com/office/officeart/2005/8/layout/hierarchy3"/>
    <dgm:cxn modelId="{32ADF71C-3FA5-4532-8851-02EB07BF0736}" srcId="{3A00C180-AE5E-415A-BD7B-00167AAD8275}" destId="{D528AEC3-8433-4F46-A574-69F11D14E2EB}" srcOrd="2" destOrd="0" parTransId="{C4F99D7D-0D48-4540-B3D6-D1C99F76FE95}" sibTransId="{4339E63E-DB07-4577-A6F2-6EA0B59AF554}"/>
    <dgm:cxn modelId="{927E998E-8EE2-41DE-AAA9-ACD0E19659BC}" srcId="{AF02153B-F4F5-4F4C-87AE-4F748AC5F725}" destId="{88254F01-FCED-4CE6-81F5-E1F300D1F61C}" srcOrd="1" destOrd="0" parTransId="{B5BBAAED-8BE5-4BAF-B6AB-27A2F9F6F940}" sibTransId="{2F6E934F-5515-45EA-BCEB-5D24C0447F14}"/>
    <dgm:cxn modelId="{A28387F6-EDF8-4672-9A86-7A552440568E}" type="presOf" srcId="{3A00C180-AE5E-415A-BD7B-00167AAD8275}" destId="{9546F0F3-F797-48E6-90A3-B388803AC305}" srcOrd="1" destOrd="0" presId="urn:microsoft.com/office/officeart/2005/8/layout/hierarchy3"/>
    <dgm:cxn modelId="{272621E3-9204-479E-9C64-88381D0895D5}" type="presOf" srcId="{F95F23F2-FF84-4470-8B73-69379C9B6354}" destId="{D37B26F7-C157-44D9-96E9-5EA17A7E72CA}" srcOrd="0" destOrd="0" presId="urn:microsoft.com/office/officeart/2005/8/layout/hierarchy3"/>
    <dgm:cxn modelId="{C7E86AFB-6682-46C0-99DA-9D8814D5EDA3}" type="presOf" srcId="{88254F01-FCED-4CE6-81F5-E1F300D1F61C}" destId="{DBFD9F65-31BE-4A69-8C0A-F6C3D26E44ED}" srcOrd="0" destOrd="0" presId="urn:microsoft.com/office/officeart/2005/8/layout/hierarchy3"/>
    <dgm:cxn modelId="{8A2D3A22-743F-48F2-8CB2-5F9068D0A4DF}" srcId="{3A00C180-AE5E-415A-BD7B-00167AAD8275}" destId="{4FD5BDA3-0785-4584-B03F-264B39034BFF}" srcOrd="1" destOrd="0" parTransId="{92E6E0BD-7302-4B41-889F-663238660C27}" sibTransId="{B7F28AA3-D6E0-4592-80C4-2BC88C6A3071}"/>
    <dgm:cxn modelId="{DD6E3D6F-78FA-41AC-820D-A5C0548BD0A9}" srcId="{AF02153B-F4F5-4F4C-87AE-4F748AC5F725}" destId="{D5F05DE9-310A-4D1D-B122-038334CC4018}" srcOrd="0" destOrd="0" parTransId="{437A101C-8DC0-4E8B-B64A-E4BD6731EF0A}" sibTransId="{2EBA7232-3FE8-4CB3-9BFC-10493CF50C2F}"/>
    <dgm:cxn modelId="{22D7B2B9-6081-431B-BF4D-5A11492B77E0}" type="presOf" srcId="{437A101C-8DC0-4E8B-B64A-E4BD6731EF0A}" destId="{22C27918-1939-4676-B08A-AC913E503669}" srcOrd="0" destOrd="0" presId="urn:microsoft.com/office/officeart/2005/8/layout/hierarchy3"/>
    <dgm:cxn modelId="{07469D11-30F1-4028-B4D6-0E0F58A675A6}" type="presOf" srcId="{C4F99D7D-0D48-4540-B3D6-D1C99F76FE95}" destId="{E6F9EB7C-8DEA-4F71-B625-B520A05911C4}" srcOrd="0" destOrd="0" presId="urn:microsoft.com/office/officeart/2005/8/layout/hierarchy3"/>
    <dgm:cxn modelId="{7815084F-869C-485D-867F-D36B5B38FE9A}" srcId="{F4F1663D-EED7-4CF0-958F-596D3FDCFC4F}" destId="{3A00C180-AE5E-415A-BD7B-00167AAD8275}" srcOrd="0" destOrd="0" parTransId="{4A48E557-65F2-476A-B07B-B2E7C8684068}" sibTransId="{A1EC71FB-A6DC-4B64-9215-447C6708313C}"/>
    <dgm:cxn modelId="{0DE765F4-2C66-4650-82AE-C36BEC961521}" type="presOf" srcId="{D5F05DE9-310A-4D1D-B122-038334CC4018}" destId="{3860400F-B4DF-43C2-9052-1D6011DFD6BF}" srcOrd="0" destOrd="0" presId="urn:microsoft.com/office/officeart/2005/8/layout/hierarchy3"/>
    <dgm:cxn modelId="{816E6090-E2FC-4091-820F-0FE2085CC80F}" type="presOf" srcId="{9AAFD44A-BF29-4D9E-8F8B-BC5D8FE09586}" destId="{D5669CEF-6766-4CAC-8911-F5BDC93EA2DE}" srcOrd="0" destOrd="0" presId="urn:microsoft.com/office/officeart/2005/8/layout/hierarchy3"/>
    <dgm:cxn modelId="{F14ED0EB-5E55-4B9B-B7CF-4079D78EE50E}" srcId="{9AAFD44A-BF29-4D9E-8F8B-BC5D8FE09586}" destId="{330EA946-7E4C-408F-84C7-E4DA1C1DAB49}" srcOrd="0" destOrd="0" parTransId="{F95F23F2-FF84-4470-8B73-69379C9B6354}" sibTransId="{CD6D563B-D5BC-4CB3-9DAC-1BE65A10E695}"/>
    <dgm:cxn modelId="{C645F8E3-154A-4D9C-93D6-B0BD01F2887A}" type="presOf" srcId="{AF02153B-F4F5-4F4C-87AE-4F748AC5F725}" destId="{9D00754A-108C-4837-AFB9-49E119A0A90B}" srcOrd="0" destOrd="0" presId="urn:microsoft.com/office/officeart/2005/8/layout/hierarchy3"/>
    <dgm:cxn modelId="{352523D1-2188-4153-B555-CE2FA806EDC4}" srcId="{F4F1663D-EED7-4CF0-958F-596D3FDCFC4F}" destId="{AF02153B-F4F5-4F4C-87AE-4F748AC5F725}" srcOrd="1" destOrd="0" parTransId="{41178497-3476-4765-AC9A-D9ED348E4664}" sibTransId="{8B9E3C1A-1278-44DA-B253-3600A4F2F54E}"/>
    <dgm:cxn modelId="{83959741-268E-4B69-B93E-A1502D0CAD77}" type="presOf" srcId="{F4F1663D-EED7-4CF0-958F-596D3FDCFC4F}" destId="{F9E3DC4D-38DD-4F95-9D50-45CCB225BDEB}" srcOrd="0" destOrd="0" presId="urn:microsoft.com/office/officeart/2005/8/layout/hierarchy3"/>
    <dgm:cxn modelId="{D51CCD6E-14D7-4D09-9B6F-5E26F9E54E65}" srcId="{3A00C180-AE5E-415A-BD7B-00167AAD8275}" destId="{C7477A0A-7E9C-45CC-952C-988EF05E0B21}" srcOrd="0" destOrd="0" parTransId="{1FD08229-AF54-4C36-9282-661ADAA488CA}" sibTransId="{D7522DBE-939B-45F7-AD41-0A1B0093097F}"/>
    <dgm:cxn modelId="{A69DD30F-C46C-4498-BCAD-7BAFABE94089}" type="presOf" srcId="{C7477A0A-7E9C-45CC-952C-988EF05E0B21}" destId="{2E5C34D9-C4B7-4BF2-AE76-743A393711D3}" srcOrd="0" destOrd="0" presId="urn:microsoft.com/office/officeart/2005/8/layout/hierarchy3"/>
    <dgm:cxn modelId="{93154C8C-8702-4081-859E-D839E41525D1}" type="presOf" srcId="{D528AEC3-8433-4F46-A574-69F11D14E2EB}" destId="{91373B7D-F74F-49EA-BA2B-F022B06E4A55}" srcOrd="0" destOrd="0" presId="urn:microsoft.com/office/officeart/2005/8/layout/hierarchy3"/>
    <dgm:cxn modelId="{02F1F5F8-C1CE-4938-9955-42872B6C682F}" type="presOf" srcId="{92E6E0BD-7302-4B41-889F-663238660C27}" destId="{32D03615-A1A7-4658-AF62-DCCD2DD90155}" srcOrd="0" destOrd="0" presId="urn:microsoft.com/office/officeart/2005/8/layout/hierarchy3"/>
    <dgm:cxn modelId="{3A300C3E-EBA8-4CA5-9F4D-5407A177522A}" type="presParOf" srcId="{F9E3DC4D-38DD-4F95-9D50-45CCB225BDEB}" destId="{C7951AAB-46DD-479B-8024-5181B25CAE6D}" srcOrd="0" destOrd="0" presId="urn:microsoft.com/office/officeart/2005/8/layout/hierarchy3"/>
    <dgm:cxn modelId="{A569D103-6777-4C37-A21D-4DCFADA0F15B}" type="presParOf" srcId="{C7951AAB-46DD-479B-8024-5181B25CAE6D}" destId="{8D1CA913-CCD4-4812-B718-B95702C1B37F}" srcOrd="0" destOrd="0" presId="urn:microsoft.com/office/officeart/2005/8/layout/hierarchy3"/>
    <dgm:cxn modelId="{20717250-51C3-4600-8B26-34304C937FAD}" type="presParOf" srcId="{8D1CA913-CCD4-4812-B718-B95702C1B37F}" destId="{7DDAA545-0161-4000-8023-B207C6D5D39B}" srcOrd="0" destOrd="0" presId="urn:microsoft.com/office/officeart/2005/8/layout/hierarchy3"/>
    <dgm:cxn modelId="{12A854DC-D1A7-4448-9A81-DF9277789159}" type="presParOf" srcId="{8D1CA913-CCD4-4812-B718-B95702C1B37F}" destId="{9546F0F3-F797-48E6-90A3-B388803AC305}" srcOrd="1" destOrd="0" presId="urn:microsoft.com/office/officeart/2005/8/layout/hierarchy3"/>
    <dgm:cxn modelId="{5F5D4CEE-5FCE-4E13-B321-ECA0410BA93F}" type="presParOf" srcId="{C7951AAB-46DD-479B-8024-5181B25CAE6D}" destId="{747C0820-571B-4626-820A-0009700134C8}" srcOrd="1" destOrd="0" presId="urn:microsoft.com/office/officeart/2005/8/layout/hierarchy3"/>
    <dgm:cxn modelId="{33FA28C8-8E7C-4182-9EBC-504498559442}" type="presParOf" srcId="{747C0820-571B-4626-820A-0009700134C8}" destId="{C65E178F-5373-4E96-A2B7-93A83C64E010}" srcOrd="0" destOrd="0" presId="urn:microsoft.com/office/officeart/2005/8/layout/hierarchy3"/>
    <dgm:cxn modelId="{1BDC58CE-525C-42C7-ADF2-6907760794D6}" type="presParOf" srcId="{747C0820-571B-4626-820A-0009700134C8}" destId="{2E5C34D9-C4B7-4BF2-AE76-743A393711D3}" srcOrd="1" destOrd="0" presId="urn:microsoft.com/office/officeart/2005/8/layout/hierarchy3"/>
    <dgm:cxn modelId="{513273DE-2A46-43DC-A3AC-5ABE90A40D1C}" type="presParOf" srcId="{747C0820-571B-4626-820A-0009700134C8}" destId="{32D03615-A1A7-4658-AF62-DCCD2DD90155}" srcOrd="2" destOrd="0" presId="urn:microsoft.com/office/officeart/2005/8/layout/hierarchy3"/>
    <dgm:cxn modelId="{A9BD34DE-B92D-4327-8E81-C9714CD42A97}" type="presParOf" srcId="{747C0820-571B-4626-820A-0009700134C8}" destId="{2425987B-3879-4F99-9DDB-3395456CEB7B}" srcOrd="3" destOrd="0" presId="urn:microsoft.com/office/officeart/2005/8/layout/hierarchy3"/>
    <dgm:cxn modelId="{730BD594-4255-4F73-8CF9-EC8A7AC33FFA}" type="presParOf" srcId="{747C0820-571B-4626-820A-0009700134C8}" destId="{E6F9EB7C-8DEA-4F71-B625-B520A05911C4}" srcOrd="4" destOrd="0" presId="urn:microsoft.com/office/officeart/2005/8/layout/hierarchy3"/>
    <dgm:cxn modelId="{9637CACA-714E-4532-9032-2409984485CC}" type="presParOf" srcId="{747C0820-571B-4626-820A-0009700134C8}" destId="{91373B7D-F74F-49EA-BA2B-F022B06E4A55}" srcOrd="5" destOrd="0" presId="urn:microsoft.com/office/officeart/2005/8/layout/hierarchy3"/>
    <dgm:cxn modelId="{21E12D54-2109-4B9C-8DF2-88917FF47D64}" type="presParOf" srcId="{F9E3DC4D-38DD-4F95-9D50-45CCB225BDEB}" destId="{96085365-7011-4325-8C68-ECC6A613C19B}" srcOrd="1" destOrd="0" presId="urn:microsoft.com/office/officeart/2005/8/layout/hierarchy3"/>
    <dgm:cxn modelId="{1D67DBEA-6F4B-4156-8411-A709C6B778DD}" type="presParOf" srcId="{96085365-7011-4325-8C68-ECC6A613C19B}" destId="{51C1CBA4-08C2-4C3D-811F-8B76C254DCFD}" srcOrd="0" destOrd="0" presId="urn:microsoft.com/office/officeart/2005/8/layout/hierarchy3"/>
    <dgm:cxn modelId="{1062498E-96DD-426D-BB16-84BAA73F7CF7}" type="presParOf" srcId="{51C1CBA4-08C2-4C3D-811F-8B76C254DCFD}" destId="{9D00754A-108C-4837-AFB9-49E119A0A90B}" srcOrd="0" destOrd="0" presId="urn:microsoft.com/office/officeart/2005/8/layout/hierarchy3"/>
    <dgm:cxn modelId="{B5032F80-0FE5-4E74-8E36-713489CDEC3A}" type="presParOf" srcId="{51C1CBA4-08C2-4C3D-811F-8B76C254DCFD}" destId="{E2A023EA-B0DC-43E1-B373-A1B0F9E3AB5F}" srcOrd="1" destOrd="0" presId="urn:microsoft.com/office/officeart/2005/8/layout/hierarchy3"/>
    <dgm:cxn modelId="{9E1FDBB7-5D64-418C-8AD0-0866456F3A6B}" type="presParOf" srcId="{96085365-7011-4325-8C68-ECC6A613C19B}" destId="{E9B03F93-719F-4FA1-A5FD-F92F4A0DC320}" srcOrd="1" destOrd="0" presId="urn:microsoft.com/office/officeart/2005/8/layout/hierarchy3"/>
    <dgm:cxn modelId="{F5436382-F41E-4AB6-AB0E-4DF583FD0A62}" type="presParOf" srcId="{E9B03F93-719F-4FA1-A5FD-F92F4A0DC320}" destId="{22C27918-1939-4676-B08A-AC913E503669}" srcOrd="0" destOrd="0" presId="urn:microsoft.com/office/officeart/2005/8/layout/hierarchy3"/>
    <dgm:cxn modelId="{58F3F968-73A1-49C0-8774-F6544E5C93CE}" type="presParOf" srcId="{E9B03F93-719F-4FA1-A5FD-F92F4A0DC320}" destId="{3860400F-B4DF-43C2-9052-1D6011DFD6BF}" srcOrd="1" destOrd="0" presId="urn:microsoft.com/office/officeart/2005/8/layout/hierarchy3"/>
    <dgm:cxn modelId="{1C6A4FB9-ACB0-4755-B674-4BD1772A5732}" type="presParOf" srcId="{E9B03F93-719F-4FA1-A5FD-F92F4A0DC320}" destId="{44028764-467A-4BE0-ACA5-D46F5E4D527F}" srcOrd="2" destOrd="0" presId="urn:microsoft.com/office/officeart/2005/8/layout/hierarchy3"/>
    <dgm:cxn modelId="{48720592-29A2-4766-B8BA-41DDDFA4E83A}" type="presParOf" srcId="{E9B03F93-719F-4FA1-A5FD-F92F4A0DC320}" destId="{DBFD9F65-31BE-4A69-8C0A-F6C3D26E44ED}" srcOrd="3" destOrd="0" presId="urn:microsoft.com/office/officeart/2005/8/layout/hierarchy3"/>
    <dgm:cxn modelId="{86A42FE8-3C3F-4D58-90A5-F4143E8E55A5}" type="presParOf" srcId="{F9E3DC4D-38DD-4F95-9D50-45CCB225BDEB}" destId="{68153778-B5F8-4A1D-A432-F8E5ADE3D3DF}" srcOrd="2" destOrd="0" presId="urn:microsoft.com/office/officeart/2005/8/layout/hierarchy3"/>
    <dgm:cxn modelId="{F3A9F988-CA34-46C9-9B14-555414F29A2A}" type="presParOf" srcId="{68153778-B5F8-4A1D-A432-F8E5ADE3D3DF}" destId="{5D75537C-8E18-419D-8F2C-3ACC8ED2D11B}" srcOrd="0" destOrd="0" presId="urn:microsoft.com/office/officeart/2005/8/layout/hierarchy3"/>
    <dgm:cxn modelId="{52B07900-B876-46DF-ACCB-43D6F672D683}" type="presParOf" srcId="{5D75537C-8E18-419D-8F2C-3ACC8ED2D11B}" destId="{D5669CEF-6766-4CAC-8911-F5BDC93EA2DE}" srcOrd="0" destOrd="0" presId="urn:microsoft.com/office/officeart/2005/8/layout/hierarchy3"/>
    <dgm:cxn modelId="{7114D18F-024F-48E7-834E-6DFD4C6F47AA}" type="presParOf" srcId="{5D75537C-8E18-419D-8F2C-3ACC8ED2D11B}" destId="{C0556B54-5991-4480-B506-1F8042B300B5}" srcOrd="1" destOrd="0" presId="urn:microsoft.com/office/officeart/2005/8/layout/hierarchy3"/>
    <dgm:cxn modelId="{511FE9E2-DD56-44E1-9C55-ED08FBBB4441}" type="presParOf" srcId="{68153778-B5F8-4A1D-A432-F8E5ADE3D3DF}" destId="{163CB8D5-70C3-461C-9C45-2D95F630C3FA}" srcOrd="1" destOrd="0" presId="urn:microsoft.com/office/officeart/2005/8/layout/hierarchy3"/>
    <dgm:cxn modelId="{4A98081D-C686-4C55-9C87-5632B61BC38E}" type="presParOf" srcId="{163CB8D5-70C3-461C-9C45-2D95F630C3FA}" destId="{D37B26F7-C157-44D9-96E9-5EA17A7E72CA}" srcOrd="0" destOrd="0" presId="urn:microsoft.com/office/officeart/2005/8/layout/hierarchy3"/>
    <dgm:cxn modelId="{339235CC-97DC-478B-8FF9-F655E7BCD15E}" type="presParOf" srcId="{163CB8D5-70C3-461C-9C45-2D95F630C3FA}" destId="{0A9E84F2-FD42-4E09-A05C-801F563819D8}" srcOrd="1" destOrd="0" presId="urn:microsoft.com/office/officeart/2005/8/layout/hierarchy3"/>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3DECAF8-53AB-47D1-89C4-33D4E193CC74}" type="doc">
      <dgm:prSet loTypeId="urn:microsoft.com/office/officeart/2005/8/layout/hProcess9" loCatId="process" qsTypeId="urn:microsoft.com/office/officeart/2005/8/quickstyle/simple1" qsCatId="simple" csTypeId="urn:microsoft.com/office/officeart/2005/8/colors/accent1_2" csCatId="accent1" phldr="1"/>
      <dgm:spPr/>
    </dgm:pt>
    <dgm:pt modelId="{99D7F61E-67E9-43EA-AA3A-D66A4C3D18A7}">
      <dgm:prSet phldrT="[Text]"/>
      <dgm:spPr/>
      <dgm:t>
        <a:bodyPr/>
        <a:lstStyle/>
        <a:p>
          <a:r>
            <a:rPr lang="en-US"/>
            <a:t>pengurangan risiko bencana tsunami</a:t>
          </a:r>
        </a:p>
      </dgm:t>
    </dgm:pt>
    <dgm:pt modelId="{C7CAA837-83E2-47A9-BD06-F03D6E1BB51E}" type="parTrans" cxnId="{4550E912-9DBD-4C59-A608-38C80ABA7D1D}">
      <dgm:prSet/>
      <dgm:spPr/>
      <dgm:t>
        <a:bodyPr/>
        <a:lstStyle/>
        <a:p>
          <a:endParaRPr lang="en-US"/>
        </a:p>
      </dgm:t>
    </dgm:pt>
    <dgm:pt modelId="{1C427D1F-60B3-43DC-8C90-16102D555665}" type="sibTrans" cxnId="{4550E912-9DBD-4C59-A608-38C80ABA7D1D}">
      <dgm:prSet/>
      <dgm:spPr/>
      <dgm:t>
        <a:bodyPr/>
        <a:lstStyle/>
        <a:p>
          <a:endParaRPr lang="en-US"/>
        </a:p>
      </dgm:t>
    </dgm:pt>
    <dgm:pt modelId="{313A4C52-7099-478E-83F4-0E36C3ED8CDE}">
      <dgm:prSet phldrT="[Text]"/>
      <dgm:spPr/>
      <dgm:t>
        <a:bodyPr/>
        <a:lstStyle/>
        <a:p>
          <a:r>
            <a:rPr lang="en-US"/>
            <a:t>vegetasi pantai</a:t>
          </a:r>
        </a:p>
      </dgm:t>
    </dgm:pt>
    <dgm:pt modelId="{E30FF216-542B-4870-AA49-C8C977733D49}" type="parTrans" cxnId="{A50CC552-3C04-415B-B4A5-C2752994B99E}">
      <dgm:prSet/>
      <dgm:spPr/>
      <dgm:t>
        <a:bodyPr/>
        <a:lstStyle/>
        <a:p>
          <a:endParaRPr lang="en-US"/>
        </a:p>
      </dgm:t>
    </dgm:pt>
    <dgm:pt modelId="{4DA480B1-A08A-49D2-9B51-E7C9B9F594C2}" type="sibTrans" cxnId="{A50CC552-3C04-415B-B4A5-C2752994B99E}">
      <dgm:prSet/>
      <dgm:spPr/>
      <dgm:t>
        <a:bodyPr/>
        <a:lstStyle/>
        <a:p>
          <a:endParaRPr lang="en-US"/>
        </a:p>
      </dgm:t>
    </dgm:pt>
    <dgm:pt modelId="{5DE4B3C4-5C05-46E5-B9CF-42D6877C58C7}">
      <dgm:prSet phldrT="[Text]"/>
      <dgm:spPr/>
      <dgm:t>
        <a:bodyPr/>
        <a:lstStyle/>
        <a:p>
          <a:r>
            <a:rPr lang="en-US"/>
            <a:t>pengelolaan mangrove</a:t>
          </a:r>
        </a:p>
      </dgm:t>
    </dgm:pt>
    <dgm:pt modelId="{72F2163F-0D1E-47EE-B913-56D572A78700}" type="parTrans" cxnId="{BC43AA09-941D-4A81-953D-E1CD7BE86D1C}">
      <dgm:prSet/>
      <dgm:spPr/>
      <dgm:t>
        <a:bodyPr/>
        <a:lstStyle/>
        <a:p>
          <a:endParaRPr lang="en-US"/>
        </a:p>
      </dgm:t>
    </dgm:pt>
    <dgm:pt modelId="{C6CD3DA4-D191-4EF7-8D97-46B07F8448A6}" type="sibTrans" cxnId="{BC43AA09-941D-4A81-953D-E1CD7BE86D1C}">
      <dgm:prSet/>
      <dgm:spPr/>
      <dgm:t>
        <a:bodyPr/>
        <a:lstStyle/>
        <a:p>
          <a:endParaRPr lang="en-US"/>
        </a:p>
      </dgm:t>
    </dgm:pt>
    <dgm:pt modelId="{465389A7-B30C-4072-B4D1-FBA990441653}" type="pres">
      <dgm:prSet presAssocID="{93DECAF8-53AB-47D1-89C4-33D4E193CC74}" presName="CompostProcess" presStyleCnt="0">
        <dgm:presLayoutVars>
          <dgm:dir/>
          <dgm:resizeHandles val="exact"/>
        </dgm:presLayoutVars>
      </dgm:prSet>
      <dgm:spPr/>
    </dgm:pt>
    <dgm:pt modelId="{454AAACC-A04B-4F24-AE79-96929233D4F1}" type="pres">
      <dgm:prSet presAssocID="{93DECAF8-53AB-47D1-89C4-33D4E193CC74}" presName="arrow" presStyleLbl="bgShp" presStyleIdx="0" presStyleCnt="1"/>
      <dgm:spPr/>
    </dgm:pt>
    <dgm:pt modelId="{CC528396-C0A3-4682-920A-2011A2543AF1}" type="pres">
      <dgm:prSet presAssocID="{93DECAF8-53AB-47D1-89C4-33D4E193CC74}" presName="linearProcess" presStyleCnt="0"/>
      <dgm:spPr/>
    </dgm:pt>
    <dgm:pt modelId="{1BAF0FCA-94CC-46A0-A927-47F79D2860CA}" type="pres">
      <dgm:prSet presAssocID="{99D7F61E-67E9-43EA-AA3A-D66A4C3D18A7}" presName="textNode" presStyleLbl="node1" presStyleIdx="0" presStyleCnt="3">
        <dgm:presLayoutVars>
          <dgm:bulletEnabled val="1"/>
        </dgm:presLayoutVars>
      </dgm:prSet>
      <dgm:spPr/>
      <dgm:t>
        <a:bodyPr/>
        <a:lstStyle/>
        <a:p>
          <a:endParaRPr lang="en-US"/>
        </a:p>
      </dgm:t>
    </dgm:pt>
    <dgm:pt modelId="{D72446C7-8DF4-49A1-A3CA-9F03DD01BFD9}" type="pres">
      <dgm:prSet presAssocID="{1C427D1F-60B3-43DC-8C90-16102D555665}" presName="sibTrans" presStyleCnt="0"/>
      <dgm:spPr/>
    </dgm:pt>
    <dgm:pt modelId="{417AB209-5CB6-4830-9644-7F210FA5B58C}" type="pres">
      <dgm:prSet presAssocID="{313A4C52-7099-478E-83F4-0E36C3ED8CDE}" presName="textNode" presStyleLbl="node1" presStyleIdx="1" presStyleCnt="3">
        <dgm:presLayoutVars>
          <dgm:bulletEnabled val="1"/>
        </dgm:presLayoutVars>
      </dgm:prSet>
      <dgm:spPr/>
      <dgm:t>
        <a:bodyPr/>
        <a:lstStyle/>
        <a:p>
          <a:endParaRPr lang="en-US"/>
        </a:p>
      </dgm:t>
    </dgm:pt>
    <dgm:pt modelId="{C523A4A5-CAEE-45C0-A3FD-5058A2C8B662}" type="pres">
      <dgm:prSet presAssocID="{4DA480B1-A08A-49D2-9B51-E7C9B9F594C2}" presName="sibTrans" presStyleCnt="0"/>
      <dgm:spPr/>
    </dgm:pt>
    <dgm:pt modelId="{4E283CE1-B710-4477-80D1-D82AF0650BE6}" type="pres">
      <dgm:prSet presAssocID="{5DE4B3C4-5C05-46E5-B9CF-42D6877C58C7}" presName="textNode" presStyleLbl="node1" presStyleIdx="2" presStyleCnt="3">
        <dgm:presLayoutVars>
          <dgm:bulletEnabled val="1"/>
        </dgm:presLayoutVars>
      </dgm:prSet>
      <dgm:spPr/>
      <dgm:t>
        <a:bodyPr/>
        <a:lstStyle/>
        <a:p>
          <a:endParaRPr lang="en-US"/>
        </a:p>
      </dgm:t>
    </dgm:pt>
  </dgm:ptLst>
  <dgm:cxnLst>
    <dgm:cxn modelId="{A50CC552-3C04-415B-B4A5-C2752994B99E}" srcId="{93DECAF8-53AB-47D1-89C4-33D4E193CC74}" destId="{313A4C52-7099-478E-83F4-0E36C3ED8CDE}" srcOrd="1" destOrd="0" parTransId="{E30FF216-542B-4870-AA49-C8C977733D49}" sibTransId="{4DA480B1-A08A-49D2-9B51-E7C9B9F594C2}"/>
    <dgm:cxn modelId="{4550E912-9DBD-4C59-A608-38C80ABA7D1D}" srcId="{93DECAF8-53AB-47D1-89C4-33D4E193CC74}" destId="{99D7F61E-67E9-43EA-AA3A-D66A4C3D18A7}" srcOrd="0" destOrd="0" parTransId="{C7CAA837-83E2-47A9-BD06-F03D6E1BB51E}" sibTransId="{1C427D1F-60B3-43DC-8C90-16102D555665}"/>
    <dgm:cxn modelId="{49A02F02-9247-4030-BE49-6AEF4C76C654}" type="presOf" srcId="{99D7F61E-67E9-43EA-AA3A-D66A4C3D18A7}" destId="{1BAF0FCA-94CC-46A0-A927-47F79D2860CA}" srcOrd="0" destOrd="0" presId="urn:microsoft.com/office/officeart/2005/8/layout/hProcess9"/>
    <dgm:cxn modelId="{BC43AA09-941D-4A81-953D-E1CD7BE86D1C}" srcId="{93DECAF8-53AB-47D1-89C4-33D4E193CC74}" destId="{5DE4B3C4-5C05-46E5-B9CF-42D6877C58C7}" srcOrd="2" destOrd="0" parTransId="{72F2163F-0D1E-47EE-B913-56D572A78700}" sibTransId="{C6CD3DA4-D191-4EF7-8D97-46B07F8448A6}"/>
    <dgm:cxn modelId="{DB23BB4F-5BCF-4A19-972B-78C2ACEFD76D}" type="presOf" srcId="{313A4C52-7099-478E-83F4-0E36C3ED8CDE}" destId="{417AB209-5CB6-4830-9644-7F210FA5B58C}" srcOrd="0" destOrd="0" presId="urn:microsoft.com/office/officeart/2005/8/layout/hProcess9"/>
    <dgm:cxn modelId="{E4A9A478-28F3-4F32-B7D9-07A0AD5272CE}" type="presOf" srcId="{93DECAF8-53AB-47D1-89C4-33D4E193CC74}" destId="{465389A7-B30C-4072-B4D1-FBA990441653}" srcOrd="0" destOrd="0" presId="urn:microsoft.com/office/officeart/2005/8/layout/hProcess9"/>
    <dgm:cxn modelId="{CC7E7963-0657-4074-831B-CDE76E039B46}" type="presOf" srcId="{5DE4B3C4-5C05-46E5-B9CF-42D6877C58C7}" destId="{4E283CE1-B710-4477-80D1-D82AF0650BE6}" srcOrd="0" destOrd="0" presId="urn:microsoft.com/office/officeart/2005/8/layout/hProcess9"/>
    <dgm:cxn modelId="{4D1414C3-D4E7-4308-99E7-AF5B60318EE8}" type="presParOf" srcId="{465389A7-B30C-4072-B4D1-FBA990441653}" destId="{454AAACC-A04B-4F24-AE79-96929233D4F1}" srcOrd="0" destOrd="0" presId="urn:microsoft.com/office/officeart/2005/8/layout/hProcess9"/>
    <dgm:cxn modelId="{FDDE71FD-9556-4941-A604-A9A5E29F5430}" type="presParOf" srcId="{465389A7-B30C-4072-B4D1-FBA990441653}" destId="{CC528396-C0A3-4682-920A-2011A2543AF1}" srcOrd="1" destOrd="0" presId="urn:microsoft.com/office/officeart/2005/8/layout/hProcess9"/>
    <dgm:cxn modelId="{0E7B91FB-6A3E-49E8-9260-BE37C259BF54}" type="presParOf" srcId="{CC528396-C0A3-4682-920A-2011A2543AF1}" destId="{1BAF0FCA-94CC-46A0-A927-47F79D2860CA}" srcOrd="0" destOrd="0" presId="urn:microsoft.com/office/officeart/2005/8/layout/hProcess9"/>
    <dgm:cxn modelId="{3A85F419-69C0-4A2A-8F48-C98DA41E76A8}" type="presParOf" srcId="{CC528396-C0A3-4682-920A-2011A2543AF1}" destId="{D72446C7-8DF4-49A1-A3CA-9F03DD01BFD9}" srcOrd="1" destOrd="0" presId="urn:microsoft.com/office/officeart/2005/8/layout/hProcess9"/>
    <dgm:cxn modelId="{384CD44E-C3DF-4C58-9A59-BE899B78B043}" type="presParOf" srcId="{CC528396-C0A3-4682-920A-2011A2543AF1}" destId="{417AB209-5CB6-4830-9644-7F210FA5B58C}" srcOrd="2" destOrd="0" presId="urn:microsoft.com/office/officeart/2005/8/layout/hProcess9"/>
    <dgm:cxn modelId="{EB62B819-18DE-46AB-ACDD-49860E97EDEF}" type="presParOf" srcId="{CC528396-C0A3-4682-920A-2011A2543AF1}" destId="{C523A4A5-CAEE-45C0-A3FD-5058A2C8B662}" srcOrd="3" destOrd="0" presId="urn:microsoft.com/office/officeart/2005/8/layout/hProcess9"/>
    <dgm:cxn modelId="{FC8729DB-3D01-46E8-AA2D-3D5DF3BA7FC1}" type="presParOf" srcId="{CC528396-C0A3-4682-920A-2011A2543AF1}" destId="{4E283CE1-B710-4477-80D1-D82AF0650BE6}" srcOrd="4"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DDAA545-0161-4000-8023-B207C6D5D39B}">
      <dsp:nvSpPr>
        <dsp:cNvPr id="0" name=""/>
        <dsp:cNvSpPr/>
      </dsp:nvSpPr>
      <dsp:spPr>
        <a:xfrm>
          <a:off x="616079" y="428"/>
          <a:ext cx="984357" cy="492178"/>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Pra Bencana</a:t>
          </a:r>
        </a:p>
      </dsp:txBody>
      <dsp:txXfrm>
        <a:off x="630494" y="14843"/>
        <a:ext cx="955527" cy="463348"/>
      </dsp:txXfrm>
    </dsp:sp>
    <dsp:sp modelId="{C65E178F-5373-4E96-A2B7-93A83C64E010}">
      <dsp:nvSpPr>
        <dsp:cNvPr id="0" name=""/>
        <dsp:cNvSpPr/>
      </dsp:nvSpPr>
      <dsp:spPr>
        <a:xfrm>
          <a:off x="714515" y="492606"/>
          <a:ext cx="98435" cy="369133"/>
        </a:xfrm>
        <a:custGeom>
          <a:avLst/>
          <a:gdLst/>
          <a:ahLst/>
          <a:cxnLst/>
          <a:rect l="0" t="0" r="0" b="0"/>
          <a:pathLst>
            <a:path>
              <a:moveTo>
                <a:pt x="0" y="0"/>
              </a:moveTo>
              <a:lnTo>
                <a:pt x="0" y="369133"/>
              </a:lnTo>
              <a:lnTo>
                <a:pt x="98435" y="369133"/>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E5C34D9-C4B7-4BF2-AE76-743A393711D3}">
      <dsp:nvSpPr>
        <dsp:cNvPr id="0" name=""/>
        <dsp:cNvSpPr/>
      </dsp:nvSpPr>
      <dsp:spPr>
        <a:xfrm>
          <a:off x="812951" y="615651"/>
          <a:ext cx="787485" cy="492178"/>
        </a:xfrm>
        <a:prstGeom prst="roundRect">
          <a:avLst>
            <a:gd name="adj" fmla="val 10000"/>
          </a:avLst>
        </a:prstGeom>
        <a:solidFill>
          <a:schemeClr val="lt1">
            <a:alpha val="90000"/>
            <a:hueOff val="0"/>
            <a:satOff val="0"/>
            <a:lumOff val="0"/>
            <a:alphaOff val="0"/>
          </a:schemeClr>
        </a:solidFill>
        <a:ln w="25400" cap="flat" cmpd="sng" algn="ctr">
          <a:solidFill>
            <a:schemeClr val="accent5">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penyuluhan dan sosialisasi</a:t>
          </a:r>
        </a:p>
      </dsp:txBody>
      <dsp:txXfrm>
        <a:off x="827366" y="630066"/>
        <a:ext cx="758655" cy="463348"/>
      </dsp:txXfrm>
    </dsp:sp>
    <dsp:sp modelId="{32D03615-A1A7-4658-AF62-DCCD2DD90155}">
      <dsp:nvSpPr>
        <dsp:cNvPr id="0" name=""/>
        <dsp:cNvSpPr/>
      </dsp:nvSpPr>
      <dsp:spPr>
        <a:xfrm>
          <a:off x="714515" y="492606"/>
          <a:ext cx="98435" cy="984357"/>
        </a:xfrm>
        <a:custGeom>
          <a:avLst/>
          <a:gdLst/>
          <a:ahLst/>
          <a:cxnLst/>
          <a:rect l="0" t="0" r="0" b="0"/>
          <a:pathLst>
            <a:path>
              <a:moveTo>
                <a:pt x="0" y="0"/>
              </a:moveTo>
              <a:lnTo>
                <a:pt x="0" y="984357"/>
              </a:lnTo>
              <a:lnTo>
                <a:pt x="98435" y="984357"/>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25987B-3879-4F99-9DDB-3395456CEB7B}">
      <dsp:nvSpPr>
        <dsp:cNvPr id="0" name=""/>
        <dsp:cNvSpPr/>
      </dsp:nvSpPr>
      <dsp:spPr>
        <a:xfrm>
          <a:off x="812951" y="1230874"/>
          <a:ext cx="787485" cy="492178"/>
        </a:xfrm>
        <a:prstGeom prst="roundRect">
          <a:avLst>
            <a:gd name="adj" fmla="val 10000"/>
          </a:avLst>
        </a:prstGeom>
        <a:solidFill>
          <a:schemeClr val="lt1">
            <a:alpha val="90000"/>
            <a:hueOff val="0"/>
            <a:satOff val="0"/>
            <a:lumOff val="0"/>
            <a:alphaOff val="0"/>
          </a:schemeClr>
        </a:solidFill>
        <a:ln w="25400" cap="flat" cmpd="sng" algn="ctr">
          <a:solidFill>
            <a:schemeClr val="accent5">
              <a:shade val="80000"/>
              <a:hueOff val="41044"/>
              <a:satOff val="-448"/>
              <a:lumOff val="5116"/>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pembentukan komunitas mangrove</a:t>
          </a:r>
        </a:p>
      </dsp:txBody>
      <dsp:txXfrm>
        <a:off x="827366" y="1245289"/>
        <a:ext cx="758655" cy="463348"/>
      </dsp:txXfrm>
    </dsp:sp>
    <dsp:sp modelId="{E6F9EB7C-8DEA-4F71-B625-B520A05911C4}">
      <dsp:nvSpPr>
        <dsp:cNvPr id="0" name=""/>
        <dsp:cNvSpPr/>
      </dsp:nvSpPr>
      <dsp:spPr>
        <a:xfrm>
          <a:off x="714515" y="492606"/>
          <a:ext cx="98435" cy="1599580"/>
        </a:xfrm>
        <a:custGeom>
          <a:avLst/>
          <a:gdLst/>
          <a:ahLst/>
          <a:cxnLst/>
          <a:rect l="0" t="0" r="0" b="0"/>
          <a:pathLst>
            <a:path>
              <a:moveTo>
                <a:pt x="0" y="0"/>
              </a:moveTo>
              <a:lnTo>
                <a:pt x="0" y="1599580"/>
              </a:lnTo>
              <a:lnTo>
                <a:pt x="98435" y="1599580"/>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373B7D-F74F-49EA-BA2B-F022B06E4A55}">
      <dsp:nvSpPr>
        <dsp:cNvPr id="0" name=""/>
        <dsp:cNvSpPr/>
      </dsp:nvSpPr>
      <dsp:spPr>
        <a:xfrm>
          <a:off x="812951" y="1846098"/>
          <a:ext cx="787485" cy="492178"/>
        </a:xfrm>
        <a:prstGeom prst="roundRect">
          <a:avLst>
            <a:gd name="adj" fmla="val 10000"/>
          </a:avLst>
        </a:prstGeom>
        <a:solidFill>
          <a:schemeClr val="lt1">
            <a:alpha val="90000"/>
            <a:hueOff val="0"/>
            <a:satOff val="0"/>
            <a:lumOff val="0"/>
            <a:alphaOff val="0"/>
          </a:schemeClr>
        </a:solidFill>
        <a:ln w="25400" cap="flat" cmpd="sng" algn="ctr">
          <a:solidFill>
            <a:schemeClr val="accent5">
              <a:shade val="80000"/>
              <a:hueOff val="82088"/>
              <a:satOff val="-895"/>
              <a:lumOff val="10232"/>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komunikasi dengan pembuat kebijakan</a:t>
          </a:r>
        </a:p>
      </dsp:txBody>
      <dsp:txXfrm>
        <a:off x="827366" y="1860513"/>
        <a:ext cx="758655" cy="463348"/>
      </dsp:txXfrm>
    </dsp:sp>
    <dsp:sp modelId="{9D00754A-108C-4837-AFB9-49E119A0A90B}">
      <dsp:nvSpPr>
        <dsp:cNvPr id="0" name=""/>
        <dsp:cNvSpPr/>
      </dsp:nvSpPr>
      <dsp:spPr>
        <a:xfrm>
          <a:off x="1846526" y="428"/>
          <a:ext cx="984357" cy="492178"/>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Tanggap Darurat</a:t>
          </a:r>
        </a:p>
      </dsp:txBody>
      <dsp:txXfrm>
        <a:off x="1860941" y="14843"/>
        <a:ext cx="955527" cy="463348"/>
      </dsp:txXfrm>
    </dsp:sp>
    <dsp:sp modelId="{22C27918-1939-4676-B08A-AC913E503669}">
      <dsp:nvSpPr>
        <dsp:cNvPr id="0" name=""/>
        <dsp:cNvSpPr/>
      </dsp:nvSpPr>
      <dsp:spPr>
        <a:xfrm>
          <a:off x="1944962" y="492606"/>
          <a:ext cx="98435" cy="369133"/>
        </a:xfrm>
        <a:custGeom>
          <a:avLst/>
          <a:gdLst/>
          <a:ahLst/>
          <a:cxnLst/>
          <a:rect l="0" t="0" r="0" b="0"/>
          <a:pathLst>
            <a:path>
              <a:moveTo>
                <a:pt x="0" y="0"/>
              </a:moveTo>
              <a:lnTo>
                <a:pt x="0" y="369133"/>
              </a:lnTo>
              <a:lnTo>
                <a:pt x="98435" y="369133"/>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860400F-B4DF-43C2-9052-1D6011DFD6BF}">
      <dsp:nvSpPr>
        <dsp:cNvPr id="0" name=""/>
        <dsp:cNvSpPr/>
      </dsp:nvSpPr>
      <dsp:spPr>
        <a:xfrm>
          <a:off x="2043397" y="615651"/>
          <a:ext cx="787485" cy="492178"/>
        </a:xfrm>
        <a:prstGeom prst="roundRect">
          <a:avLst>
            <a:gd name="adj" fmla="val 10000"/>
          </a:avLst>
        </a:prstGeom>
        <a:solidFill>
          <a:schemeClr val="lt1">
            <a:alpha val="90000"/>
            <a:hueOff val="0"/>
            <a:satOff val="0"/>
            <a:lumOff val="0"/>
            <a:alphaOff val="0"/>
          </a:schemeClr>
        </a:solidFill>
        <a:ln w="25400" cap="flat" cmpd="sng" algn="ctr">
          <a:solidFill>
            <a:schemeClr val="accent5">
              <a:shade val="80000"/>
              <a:hueOff val="123133"/>
              <a:satOff val="-1343"/>
              <a:lumOff val="15347"/>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tindakan medis</a:t>
          </a:r>
        </a:p>
      </dsp:txBody>
      <dsp:txXfrm>
        <a:off x="2057812" y="630066"/>
        <a:ext cx="758655" cy="463348"/>
      </dsp:txXfrm>
    </dsp:sp>
    <dsp:sp modelId="{44028764-467A-4BE0-ACA5-D46F5E4D527F}">
      <dsp:nvSpPr>
        <dsp:cNvPr id="0" name=""/>
        <dsp:cNvSpPr/>
      </dsp:nvSpPr>
      <dsp:spPr>
        <a:xfrm>
          <a:off x="1944962" y="492606"/>
          <a:ext cx="98435" cy="984357"/>
        </a:xfrm>
        <a:custGeom>
          <a:avLst/>
          <a:gdLst/>
          <a:ahLst/>
          <a:cxnLst/>
          <a:rect l="0" t="0" r="0" b="0"/>
          <a:pathLst>
            <a:path>
              <a:moveTo>
                <a:pt x="0" y="0"/>
              </a:moveTo>
              <a:lnTo>
                <a:pt x="0" y="984357"/>
              </a:lnTo>
              <a:lnTo>
                <a:pt x="98435" y="984357"/>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BFD9F65-31BE-4A69-8C0A-F6C3D26E44ED}">
      <dsp:nvSpPr>
        <dsp:cNvPr id="0" name=""/>
        <dsp:cNvSpPr/>
      </dsp:nvSpPr>
      <dsp:spPr>
        <a:xfrm>
          <a:off x="2043397" y="1230874"/>
          <a:ext cx="787485" cy="492178"/>
        </a:xfrm>
        <a:prstGeom prst="roundRect">
          <a:avLst>
            <a:gd name="adj" fmla="val 10000"/>
          </a:avLst>
        </a:prstGeom>
        <a:solidFill>
          <a:schemeClr val="lt1">
            <a:alpha val="90000"/>
            <a:hueOff val="0"/>
            <a:satOff val="0"/>
            <a:lumOff val="0"/>
            <a:alphaOff val="0"/>
          </a:schemeClr>
        </a:solidFill>
        <a:ln w="25400" cap="flat" cmpd="sng" algn="ctr">
          <a:solidFill>
            <a:schemeClr val="accent5">
              <a:shade val="80000"/>
              <a:hueOff val="164177"/>
              <a:satOff val="-1790"/>
              <a:lumOff val="20463"/>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perawatan</a:t>
          </a:r>
        </a:p>
      </dsp:txBody>
      <dsp:txXfrm>
        <a:off x="2057812" y="1245289"/>
        <a:ext cx="758655" cy="463348"/>
      </dsp:txXfrm>
    </dsp:sp>
    <dsp:sp modelId="{D5669CEF-6766-4CAC-8911-F5BDC93EA2DE}">
      <dsp:nvSpPr>
        <dsp:cNvPr id="0" name=""/>
        <dsp:cNvSpPr/>
      </dsp:nvSpPr>
      <dsp:spPr>
        <a:xfrm>
          <a:off x="3076972" y="428"/>
          <a:ext cx="984357" cy="492178"/>
        </a:xfrm>
        <a:prstGeom prst="roundRect">
          <a:avLst>
            <a:gd name="adj" fmla="val 10000"/>
          </a:avLst>
        </a:prstGeom>
        <a:solidFill>
          <a:srgbClr val="0070C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8575" tIns="19050" rIns="28575" bIns="19050" numCol="1" spcCol="1270" anchor="ctr" anchorCtr="0">
          <a:noAutofit/>
        </a:bodyPr>
        <a:lstStyle/>
        <a:p>
          <a:pPr lvl="0" algn="ctr" defTabSz="666750">
            <a:lnSpc>
              <a:spcPct val="90000"/>
            </a:lnSpc>
            <a:spcBef>
              <a:spcPct val="0"/>
            </a:spcBef>
            <a:spcAft>
              <a:spcPct val="35000"/>
            </a:spcAft>
          </a:pPr>
          <a:r>
            <a:rPr lang="en-US" sz="1500" kern="1200"/>
            <a:t>Pasca Bencana</a:t>
          </a:r>
        </a:p>
      </dsp:txBody>
      <dsp:txXfrm>
        <a:off x="3091387" y="14843"/>
        <a:ext cx="955527" cy="463348"/>
      </dsp:txXfrm>
    </dsp:sp>
    <dsp:sp modelId="{D37B26F7-C157-44D9-96E9-5EA17A7E72CA}">
      <dsp:nvSpPr>
        <dsp:cNvPr id="0" name=""/>
        <dsp:cNvSpPr/>
      </dsp:nvSpPr>
      <dsp:spPr>
        <a:xfrm>
          <a:off x="3175408" y="492606"/>
          <a:ext cx="98435" cy="369133"/>
        </a:xfrm>
        <a:custGeom>
          <a:avLst/>
          <a:gdLst/>
          <a:ahLst/>
          <a:cxnLst/>
          <a:rect l="0" t="0" r="0" b="0"/>
          <a:pathLst>
            <a:path>
              <a:moveTo>
                <a:pt x="0" y="0"/>
              </a:moveTo>
              <a:lnTo>
                <a:pt x="0" y="369133"/>
              </a:lnTo>
              <a:lnTo>
                <a:pt x="98435" y="369133"/>
              </a:lnTo>
            </a:path>
          </a:pathLst>
        </a:custGeom>
        <a:noFill/>
        <a:ln w="25400" cap="flat" cmpd="sng" algn="ctr">
          <a:solidFill>
            <a:schemeClr val="accent5">
              <a:tint val="99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9E84F2-FD42-4E09-A05C-801F563819D8}">
      <dsp:nvSpPr>
        <dsp:cNvPr id="0" name=""/>
        <dsp:cNvSpPr/>
      </dsp:nvSpPr>
      <dsp:spPr>
        <a:xfrm>
          <a:off x="3273844" y="615651"/>
          <a:ext cx="787485" cy="492178"/>
        </a:xfrm>
        <a:prstGeom prst="roundRect">
          <a:avLst>
            <a:gd name="adj" fmla="val 10000"/>
          </a:avLst>
        </a:prstGeom>
        <a:solidFill>
          <a:schemeClr val="lt1">
            <a:alpha val="90000"/>
            <a:hueOff val="0"/>
            <a:satOff val="0"/>
            <a:lumOff val="0"/>
            <a:alphaOff val="0"/>
          </a:schemeClr>
        </a:solidFill>
        <a:ln w="25400" cap="flat" cmpd="sng" algn="ctr">
          <a:solidFill>
            <a:schemeClr val="accent5">
              <a:shade val="80000"/>
              <a:hueOff val="205221"/>
              <a:satOff val="-2238"/>
              <a:lumOff val="25579"/>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lvl="0" algn="ctr" defTabSz="355600">
            <a:lnSpc>
              <a:spcPct val="90000"/>
            </a:lnSpc>
            <a:spcBef>
              <a:spcPct val="0"/>
            </a:spcBef>
            <a:spcAft>
              <a:spcPct val="35000"/>
            </a:spcAft>
          </a:pPr>
          <a:r>
            <a:rPr lang="en-US" sz="800" kern="1200"/>
            <a:t>perawatan lanjutan</a:t>
          </a:r>
        </a:p>
      </dsp:txBody>
      <dsp:txXfrm>
        <a:off x="3288259" y="630066"/>
        <a:ext cx="758655" cy="4633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54AAACC-A04B-4F24-AE79-96929233D4F1}">
      <dsp:nvSpPr>
        <dsp:cNvPr id="0" name=""/>
        <dsp:cNvSpPr/>
      </dsp:nvSpPr>
      <dsp:spPr>
        <a:xfrm>
          <a:off x="313372" y="0"/>
          <a:ext cx="3551555" cy="1222375"/>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1BAF0FCA-94CC-46A0-A927-47F79D2860CA}">
      <dsp:nvSpPr>
        <dsp:cNvPr id="0" name=""/>
        <dsp:cNvSpPr/>
      </dsp:nvSpPr>
      <dsp:spPr>
        <a:xfrm>
          <a:off x="4488" y="366712"/>
          <a:ext cx="1344890" cy="4889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pengurangan risiko bencana tsunami</a:t>
          </a:r>
        </a:p>
      </dsp:txBody>
      <dsp:txXfrm>
        <a:off x="28357" y="390581"/>
        <a:ext cx="1297152" cy="441212"/>
      </dsp:txXfrm>
    </dsp:sp>
    <dsp:sp modelId="{417AB209-5CB6-4830-9644-7F210FA5B58C}">
      <dsp:nvSpPr>
        <dsp:cNvPr id="0" name=""/>
        <dsp:cNvSpPr/>
      </dsp:nvSpPr>
      <dsp:spPr>
        <a:xfrm>
          <a:off x="1416704" y="366712"/>
          <a:ext cx="1344890" cy="4889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vegetasi pantai</a:t>
          </a:r>
        </a:p>
      </dsp:txBody>
      <dsp:txXfrm>
        <a:off x="1440573" y="390581"/>
        <a:ext cx="1297152" cy="441212"/>
      </dsp:txXfrm>
    </dsp:sp>
    <dsp:sp modelId="{4E283CE1-B710-4477-80D1-D82AF0650BE6}">
      <dsp:nvSpPr>
        <dsp:cNvPr id="0" name=""/>
        <dsp:cNvSpPr/>
      </dsp:nvSpPr>
      <dsp:spPr>
        <a:xfrm>
          <a:off x="2828921" y="366712"/>
          <a:ext cx="1344890" cy="488950"/>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US" sz="1200" kern="1200"/>
            <a:t>pengelolaan mangrove</a:t>
          </a:r>
        </a:p>
      </dsp:txBody>
      <dsp:txXfrm>
        <a:off x="2852790" y="390581"/>
        <a:ext cx="1297152" cy="44121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26581</Words>
  <Characters>151512</Characters>
  <Application>Microsoft Office Word</Application>
  <DocSecurity>0</DocSecurity>
  <Lines>1262</Lines>
  <Paragraphs>355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177738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 Wahyuli</dc:creator>
  <cp:lastModifiedBy>putra agina</cp:lastModifiedBy>
  <cp:revision>2</cp:revision>
  <dcterms:created xsi:type="dcterms:W3CDTF">2020-05-05T14:42:00Z</dcterms:created>
  <dcterms:modified xsi:type="dcterms:W3CDTF">2020-05-05T14:42:00Z</dcterms:modified>
</cp:coreProperties>
</file>